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5717" w:rsidRPr="00A34694" w:rsidRDefault="00A34694" w:rsidP="0027571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b/>
        </w:rPr>
      </w:pPr>
      <w:r w:rsidRPr="00FF43A3">
        <w:rPr>
          <w:rFonts w:ascii="Algerian" w:hAnsi="Algerian"/>
          <w:b/>
          <w:sz w:val="56"/>
          <w:szCs w:val="56"/>
        </w:rPr>
        <w:t>HIS210: Africa Welcomes China</w:t>
      </w:r>
    </w:p>
    <w:p w:rsidR="00C87993" w:rsidRPr="00A34694" w:rsidRDefault="00990C55" w:rsidP="00C87993">
      <w:pPr>
        <w:rPr>
          <w:sz w:val="28"/>
          <w:szCs w:val="28"/>
        </w:rPr>
      </w:pPr>
      <w:r>
        <w:rPr>
          <w:sz w:val="28"/>
          <w:szCs w:val="28"/>
        </w:rPr>
        <w:t>Spring 2023</w:t>
      </w:r>
    </w:p>
    <w:p w:rsidR="0052406B" w:rsidRPr="00A34694" w:rsidRDefault="0052406B" w:rsidP="005240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rPr>
          <w:i/>
          <w:spacing w:val="-3"/>
        </w:rPr>
      </w:pPr>
      <w:r w:rsidRPr="00A34694">
        <w:rPr>
          <w:i/>
          <w:spacing w:val="-3"/>
        </w:rPr>
        <w:t>Elias Mandala</w:t>
      </w:r>
    </w:p>
    <w:p w:rsidR="0052406B" w:rsidRPr="00A34694" w:rsidRDefault="0052406B" w:rsidP="005240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rPr>
          <w:spacing w:val="-3"/>
        </w:rPr>
      </w:pPr>
      <w:r w:rsidRPr="00A34694">
        <w:rPr>
          <w:spacing w:val="-3"/>
        </w:rPr>
        <w:t xml:space="preserve">Office Location: Rush </w:t>
      </w:r>
      <w:proofErr w:type="spellStart"/>
      <w:r w:rsidRPr="00A34694">
        <w:rPr>
          <w:spacing w:val="-3"/>
        </w:rPr>
        <w:t>Rhees</w:t>
      </w:r>
      <w:proofErr w:type="spellEnd"/>
      <w:r w:rsidRPr="00A34694">
        <w:rPr>
          <w:spacing w:val="-3"/>
        </w:rPr>
        <w:t xml:space="preserve"> Library 439</w:t>
      </w:r>
    </w:p>
    <w:p w:rsidR="0052406B" w:rsidRPr="00A34694" w:rsidRDefault="007500C6" w:rsidP="005240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rPr>
          <w:spacing w:val="-3"/>
        </w:rPr>
      </w:pPr>
      <w:r>
        <w:rPr>
          <w:spacing w:val="-3"/>
        </w:rPr>
        <w:t>Office Ho</w:t>
      </w:r>
      <w:r w:rsidR="00A6700B">
        <w:rPr>
          <w:spacing w:val="-3"/>
        </w:rPr>
        <w:t>urs: Tuesday, Thursday 1530-1630</w:t>
      </w:r>
      <w:r w:rsidR="00BE088C" w:rsidRPr="00A34694">
        <w:rPr>
          <w:spacing w:val="-3"/>
        </w:rPr>
        <w:t xml:space="preserve"> </w:t>
      </w:r>
    </w:p>
    <w:p w:rsidR="0052406B" w:rsidRPr="00A34694" w:rsidRDefault="0052406B" w:rsidP="005240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spacing w:after="0"/>
        <w:contextualSpacing/>
        <w:rPr>
          <w:spacing w:val="-3"/>
        </w:rPr>
      </w:pPr>
      <w:r w:rsidRPr="00A34694">
        <w:rPr>
          <w:spacing w:val="-3"/>
        </w:rPr>
        <w:t>Phone Number: 585.275.2058</w:t>
      </w:r>
    </w:p>
    <w:p w:rsidR="0052406B" w:rsidRPr="00A34694" w:rsidRDefault="0052406B" w:rsidP="0052406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rPr>
          <w:spacing w:val="-3"/>
        </w:rPr>
      </w:pPr>
      <w:r w:rsidRPr="00A34694">
        <w:rPr>
          <w:spacing w:val="-3"/>
        </w:rPr>
        <w:t xml:space="preserve">Email: </w:t>
      </w:r>
      <w:hyperlink r:id="rId7" w:history="1">
        <w:r w:rsidR="002D13D1" w:rsidRPr="00A34694">
          <w:rPr>
            <w:rStyle w:val="Hyperlink"/>
            <w:spacing w:val="-3"/>
          </w:rPr>
          <w:t>elias.mandala@rochester.edu</w:t>
        </w:r>
      </w:hyperlink>
    </w:p>
    <w:p w:rsidR="007D7C02" w:rsidRDefault="004368BF" w:rsidP="006B6EE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pPr>
      <w:r w:rsidRPr="006B6EEA">
        <w:t>Class Meets</w:t>
      </w:r>
      <w:r w:rsidR="007500C6" w:rsidRPr="006B6EEA">
        <w:t xml:space="preserve"> </w:t>
      </w:r>
      <w:r w:rsidR="006B6EEA" w:rsidRPr="006B6EEA">
        <w:t>1</w:t>
      </w:r>
      <w:r w:rsidR="00EF5B0A">
        <w:t>23</w:t>
      </w:r>
      <w:r w:rsidR="006B6EEA" w:rsidRPr="006B6EEA">
        <w:t>0-1</w:t>
      </w:r>
      <w:r w:rsidR="00CF41DC">
        <w:t>34</w:t>
      </w:r>
      <w:bookmarkStart w:id="0" w:name="_GoBack"/>
      <w:bookmarkEnd w:id="0"/>
      <w:r w:rsidR="006B6EEA" w:rsidRPr="006B6EEA">
        <w:t xml:space="preserve">5 </w:t>
      </w:r>
      <w:r w:rsidR="007500C6" w:rsidRPr="006B6EEA">
        <w:t xml:space="preserve">on Tuesday and Thursday, </w:t>
      </w:r>
      <w:r w:rsidR="002D13D1" w:rsidRPr="006B6EEA">
        <w:t xml:space="preserve">in </w:t>
      </w:r>
      <w:r w:rsidR="003645DE">
        <w:t>Frederick Douglas 404</w:t>
      </w:r>
      <w:r w:rsidR="00BB3811" w:rsidRPr="006B6EEA">
        <w:t xml:space="preserve"> </w:t>
      </w:r>
    </w:p>
    <w:p w:rsidR="006B6EEA" w:rsidRPr="006B6EEA" w:rsidRDefault="006B6EEA" w:rsidP="006B6EEA">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636"/>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contextualSpacing/>
      </w:pPr>
    </w:p>
    <w:p w:rsidR="004647BF" w:rsidRPr="00A34694" w:rsidRDefault="004647BF" w:rsidP="004647BF">
      <w:pPr>
        <w:contextualSpacing/>
        <w:rPr>
          <w:sz w:val="28"/>
          <w:szCs w:val="28"/>
        </w:rPr>
      </w:pPr>
      <w:r w:rsidRPr="00A34694">
        <w:rPr>
          <w:sz w:val="28"/>
          <w:szCs w:val="28"/>
        </w:rPr>
        <w:t>DESCRIPTION</w:t>
      </w:r>
    </w:p>
    <w:p w:rsidR="00034702" w:rsidRPr="00A34694" w:rsidRDefault="00317F6C" w:rsidP="004647BF">
      <w:pPr>
        <w:contextualSpacing/>
      </w:pPr>
      <w:r w:rsidRPr="00A34694">
        <w:t>Africa’s engagement with China is to be read as a two-sided story. China has found in Africa a reliable supplier of natural resources while Africans look to China for aid and investments in agriculture, industry, infrastructure, and education. And, in a significant departure from the colonial model of economic interactions, Chinese companies do not only ship finished products to Africa; they also build factories in Africa to manufacture goods for internal use and for export. Africans’ relations with the Chinese have become so interlocking that questions are now being raised about their potential impact on Africa. This course explores those questions on the understanding that the outcome will not only be decided in Beijing; it will also reflect African agency and history.</w:t>
      </w:r>
    </w:p>
    <w:p w:rsidR="00C87993" w:rsidRPr="003249BA" w:rsidRDefault="004647BF" w:rsidP="0052406B">
      <w:pPr>
        <w:pStyle w:val="NormalWeb"/>
        <w:spacing w:before="0" w:beforeAutospacing="0" w:after="0" w:afterAutospacing="0"/>
        <w:rPr>
          <w:sz w:val="28"/>
          <w:szCs w:val="28"/>
        </w:rPr>
      </w:pPr>
      <w:r w:rsidRPr="00A34694">
        <w:rPr>
          <w:sz w:val="28"/>
          <w:szCs w:val="28"/>
        </w:rPr>
        <w:t>REQUIREMENTS</w:t>
      </w:r>
    </w:p>
    <w:p w:rsidR="00405E61" w:rsidRPr="00A34694" w:rsidRDefault="00EC43D9" w:rsidP="00122CA6">
      <w:pPr>
        <w:pStyle w:val="NormalWeb"/>
        <w:spacing w:before="0" w:beforeAutospacing="0" w:after="0" w:afterAutospacing="0"/>
      </w:pPr>
      <w:r w:rsidRPr="00A34694">
        <w:rPr>
          <w:spacing w:val="-3"/>
        </w:rPr>
        <w:t>(1)</w:t>
      </w:r>
      <w:r w:rsidR="00B076E0" w:rsidRPr="00A34694">
        <w:rPr>
          <w:spacing w:val="-3"/>
        </w:rPr>
        <w:t xml:space="preserve"> </w:t>
      </w:r>
      <w:r w:rsidR="00C87993" w:rsidRPr="00A34694">
        <w:rPr>
          <w:spacing w:val="-3"/>
        </w:rPr>
        <w:t>Regular class</w:t>
      </w:r>
      <w:r w:rsidR="00C87993" w:rsidRPr="00A34694">
        <w:rPr>
          <w:b/>
          <w:spacing w:val="-3"/>
        </w:rPr>
        <w:t xml:space="preserve"> </w:t>
      </w:r>
      <w:r w:rsidR="00C87993" w:rsidRPr="00A34694">
        <w:rPr>
          <w:spacing w:val="-3"/>
        </w:rPr>
        <w:t>attendance</w:t>
      </w:r>
      <w:r w:rsidR="00336A1F" w:rsidRPr="00A34694">
        <w:rPr>
          <w:spacing w:val="-3"/>
        </w:rPr>
        <w:t xml:space="preserve">, </w:t>
      </w:r>
      <w:r w:rsidR="00C87993" w:rsidRPr="00A34694">
        <w:rPr>
          <w:spacing w:val="-3"/>
        </w:rPr>
        <w:t>active participation in</w:t>
      </w:r>
      <w:r w:rsidR="00CA28F3">
        <w:rPr>
          <w:spacing w:val="-3"/>
        </w:rPr>
        <w:t xml:space="preserve"> class</w:t>
      </w:r>
      <w:r w:rsidR="00AD6E0F">
        <w:rPr>
          <w:spacing w:val="-3"/>
        </w:rPr>
        <w:t xml:space="preserve"> discussion. To that end, you must </w:t>
      </w:r>
      <w:r w:rsidR="00122CA6">
        <w:t xml:space="preserve">complete all assigned readings </w:t>
      </w:r>
      <w:r w:rsidR="00122CA6" w:rsidRPr="00CA28F3">
        <w:rPr>
          <w:i/>
        </w:rPr>
        <w:t>before</w:t>
      </w:r>
      <w:r w:rsidR="00122CA6">
        <w:t xml:space="preserve"> each class meeting. (2) You will also</w:t>
      </w:r>
      <w:r w:rsidR="00336A1F" w:rsidRPr="00A34694">
        <w:rPr>
          <w:spacing w:val="-3"/>
        </w:rPr>
        <w:t xml:space="preserve"> lead</w:t>
      </w:r>
      <w:r w:rsidR="00122CA6">
        <w:rPr>
          <w:spacing w:val="-3"/>
        </w:rPr>
        <w:t xml:space="preserve"> one or more </w:t>
      </w:r>
      <w:r w:rsidR="00122CA6" w:rsidRPr="00A34694">
        <w:rPr>
          <w:spacing w:val="-3"/>
        </w:rPr>
        <w:t>seminar discussion</w:t>
      </w:r>
      <w:r w:rsidR="00122CA6">
        <w:rPr>
          <w:spacing w:val="-3"/>
        </w:rPr>
        <w:t xml:space="preserve">s, </w:t>
      </w:r>
      <w:r w:rsidR="00122CA6" w:rsidRPr="00A34694">
        <w:rPr>
          <w:spacing w:val="-3"/>
        </w:rPr>
        <w:t>depending on th</w:t>
      </w:r>
      <w:r w:rsidR="00122CA6">
        <w:rPr>
          <w:spacing w:val="-3"/>
        </w:rPr>
        <w:t>e number of people in the class;  (3</w:t>
      </w:r>
      <w:r w:rsidR="00336A1F" w:rsidRPr="00A34694">
        <w:rPr>
          <w:spacing w:val="-3"/>
        </w:rPr>
        <w:t>) s</w:t>
      </w:r>
      <w:r w:rsidR="00C87993" w:rsidRPr="00A34694">
        <w:rPr>
          <w:spacing w:val="-3"/>
        </w:rPr>
        <w:t>ubmit</w:t>
      </w:r>
      <w:r w:rsidR="008977D7">
        <w:rPr>
          <w:spacing w:val="-3"/>
        </w:rPr>
        <w:t xml:space="preserve">:  (a) </w:t>
      </w:r>
      <w:r w:rsidR="00C87993" w:rsidRPr="00A34694">
        <w:rPr>
          <w:spacing w:val="-3"/>
        </w:rPr>
        <w:t xml:space="preserve"> </w:t>
      </w:r>
      <w:r w:rsidR="00122CA6">
        <w:rPr>
          <w:b/>
          <w:spacing w:val="-3"/>
        </w:rPr>
        <w:t>4</w:t>
      </w:r>
      <w:r w:rsidR="00B3130E" w:rsidRPr="00A34694">
        <w:rPr>
          <w:spacing w:val="-3"/>
        </w:rPr>
        <w:t xml:space="preserve"> </w:t>
      </w:r>
      <w:r w:rsidR="00336A1F" w:rsidRPr="00A34694">
        <w:rPr>
          <w:spacing w:val="-3"/>
        </w:rPr>
        <w:t xml:space="preserve">reviews </w:t>
      </w:r>
      <w:r w:rsidR="00122CA6">
        <w:rPr>
          <w:spacing w:val="-3"/>
        </w:rPr>
        <w:t xml:space="preserve">of </w:t>
      </w:r>
      <w:r w:rsidR="00E1472A" w:rsidRPr="00A34694">
        <w:rPr>
          <w:spacing w:val="-3"/>
        </w:rPr>
        <w:t xml:space="preserve">between 3 and </w:t>
      </w:r>
      <w:r w:rsidR="00C87993" w:rsidRPr="00A34694">
        <w:rPr>
          <w:spacing w:val="-3"/>
        </w:rPr>
        <w:t>5</w:t>
      </w:r>
      <w:r w:rsidR="008977D7">
        <w:rPr>
          <w:spacing w:val="-3"/>
        </w:rPr>
        <w:t xml:space="preserve"> double-spaced pages; (b) </w:t>
      </w:r>
      <w:r w:rsidR="00BA01B6" w:rsidRPr="00A34694">
        <w:rPr>
          <w:spacing w:val="-3"/>
        </w:rPr>
        <w:t xml:space="preserve"> </w:t>
      </w:r>
      <w:r w:rsidR="00F71A28" w:rsidRPr="00A34694">
        <w:rPr>
          <w:spacing w:val="-3"/>
        </w:rPr>
        <w:t>res</w:t>
      </w:r>
      <w:r w:rsidR="008977D7">
        <w:rPr>
          <w:spacing w:val="-3"/>
        </w:rPr>
        <w:t xml:space="preserve">earch </w:t>
      </w:r>
      <w:r w:rsidR="008977D7" w:rsidRPr="00122CA6">
        <w:rPr>
          <w:b/>
          <w:spacing w:val="-3"/>
        </w:rPr>
        <w:t>essay</w:t>
      </w:r>
      <w:r w:rsidR="008977D7">
        <w:rPr>
          <w:spacing w:val="-3"/>
        </w:rPr>
        <w:t xml:space="preserve"> of between 10 and 12</w:t>
      </w:r>
      <w:r w:rsidR="00F71A28" w:rsidRPr="00A34694">
        <w:rPr>
          <w:spacing w:val="-3"/>
        </w:rPr>
        <w:t xml:space="preserve"> double-spaced pages</w:t>
      </w:r>
      <w:r w:rsidR="00F71A28" w:rsidRPr="00A34694">
        <w:t xml:space="preserve"> on a topic of </w:t>
      </w:r>
      <w:r w:rsidR="00C87993" w:rsidRPr="00A34694">
        <w:rPr>
          <w:spacing w:val="-3"/>
        </w:rPr>
        <w:t xml:space="preserve">one’s </w:t>
      </w:r>
      <w:r w:rsidR="00BA01B6" w:rsidRPr="00A34694">
        <w:rPr>
          <w:spacing w:val="-3"/>
        </w:rPr>
        <w:t xml:space="preserve">own </w:t>
      </w:r>
      <w:r w:rsidR="00C87993" w:rsidRPr="00A34694">
        <w:rPr>
          <w:spacing w:val="-3"/>
        </w:rPr>
        <w:t>choice</w:t>
      </w:r>
      <w:r w:rsidR="00ED00A8" w:rsidRPr="00A34694">
        <w:rPr>
          <w:spacing w:val="-3"/>
        </w:rPr>
        <w:t xml:space="preserve">, </w:t>
      </w:r>
      <w:r w:rsidR="00BA01B6" w:rsidRPr="00A34694">
        <w:rPr>
          <w:spacing w:val="-3"/>
        </w:rPr>
        <w:t xml:space="preserve">dealing with </w:t>
      </w:r>
      <w:r w:rsidR="00ED00A8" w:rsidRPr="00A34694">
        <w:rPr>
          <w:spacing w:val="-3"/>
        </w:rPr>
        <w:t xml:space="preserve">any aspect of </w:t>
      </w:r>
      <w:r w:rsidR="006B78E5" w:rsidRPr="00A34694">
        <w:rPr>
          <w:spacing w:val="-3"/>
        </w:rPr>
        <w:t>Africa’s encounters with China</w:t>
      </w:r>
      <w:r w:rsidR="00C87993" w:rsidRPr="00A34694">
        <w:rPr>
          <w:spacing w:val="-3"/>
        </w:rPr>
        <w:t>.</w:t>
      </w:r>
      <w:r w:rsidR="00BA01B6" w:rsidRPr="00A34694">
        <w:rPr>
          <w:spacing w:val="-3"/>
        </w:rPr>
        <w:t xml:space="preserve"> </w:t>
      </w:r>
    </w:p>
    <w:p w:rsidR="00886232" w:rsidRPr="00A34694" w:rsidRDefault="00AD0264" w:rsidP="00FF718A">
      <w:pPr>
        <w:suppressAutoHyphens/>
      </w:pPr>
      <w:r>
        <w:rPr>
          <w:b/>
        </w:rPr>
        <w:t>Research Essay</w:t>
      </w:r>
      <w:r w:rsidR="00FF718A">
        <w:t xml:space="preserve"> should be based on books, articles, and other sources </w:t>
      </w:r>
      <w:r w:rsidR="00FF718A" w:rsidRPr="004F1F24">
        <w:rPr>
          <w:i/>
        </w:rPr>
        <w:t>beyond</w:t>
      </w:r>
      <w:r w:rsidR="00FF718A" w:rsidRPr="00D945D4">
        <w:t xml:space="preserve"> the required</w:t>
      </w:r>
      <w:r w:rsidR="008053BC">
        <w:t xml:space="preserve"> readings. The paper </w:t>
      </w:r>
      <w:r w:rsidR="00FF718A">
        <w:t>should demonstrate</w:t>
      </w:r>
      <w:r w:rsidR="00FF718A" w:rsidRPr="00D945D4">
        <w:t xml:space="preserve"> you have consulte</w:t>
      </w:r>
      <w:r w:rsidR="00FF718A">
        <w:t>d at lea</w:t>
      </w:r>
      <w:r w:rsidR="008053BC">
        <w:t>st ten (10) peer-reviewed or scholarly</w:t>
      </w:r>
      <w:r w:rsidR="00B732B0">
        <w:t xml:space="preserve"> </w:t>
      </w:r>
      <w:r w:rsidR="008053BC">
        <w:t>works</w:t>
      </w:r>
      <w:r w:rsidR="00FF718A" w:rsidRPr="00D945D4">
        <w:t xml:space="preserve">. Articles downloaded from online journals and electronic books are treated as “scholarly,” </w:t>
      </w:r>
      <w:r w:rsidR="00FF718A">
        <w:t xml:space="preserve">but those from the Worldwide Web are not, and are </w:t>
      </w:r>
      <w:r w:rsidR="00FF718A" w:rsidRPr="00D945D4">
        <w:t xml:space="preserve">not </w:t>
      </w:r>
      <w:r w:rsidR="00FF718A">
        <w:t xml:space="preserve">therefore permitted to form </w:t>
      </w:r>
      <w:r w:rsidR="00FF718A" w:rsidRPr="00D945D4">
        <w:t>part of your bi</w:t>
      </w:r>
      <w:r w:rsidR="00FF718A">
        <w:t xml:space="preserve">bliography. </w:t>
      </w:r>
    </w:p>
    <w:p w:rsidR="006276AF" w:rsidRDefault="007259E7" w:rsidP="007259E7">
      <w:pPr>
        <w:suppressAutoHyphens/>
      </w:pPr>
      <w:r w:rsidRPr="007259E7">
        <w:rPr>
          <w:b/>
        </w:rPr>
        <w:t>Review</w:t>
      </w:r>
      <w:r w:rsidR="001D7AE5">
        <w:rPr>
          <w:b/>
        </w:rPr>
        <w:t xml:space="preserve">s </w:t>
      </w:r>
      <w:r w:rsidRPr="00A34694">
        <w:t xml:space="preserve">(1) summarize the main ideas and arguments; (2) and state the relevance of the work </w:t>
      </w:r>
      <w:r w:rsidRPr="004E1249">
        <w:t>to the debate being discussed at that point in the course.</w:t>
      </w:r>
      <w:r w:rsidR="006276AF" w:rsidRPr="004E1249">
        <w:t xml:space="preserve"> Clegg</w:t>
      </w:r>
      <w:r w:rsidR="00586F0C" w:rsidRPr="004E1249">
        <w:t xml:space="preserve">, </w:t>
      </w:r>
      <w:r w:rsidR="00586F0C" w:rsidRPr="004E1249">
        <w:rPr>
          <w:i/>
        </w:rPr>
        <w:t>China’s Global Strategy</w:t>
      </w:r>
      <w:r w:rsidR="00586F0C" w:rsidRPr="004E1249">
        <w:t>, pp. 1-</w:t>
      </w:r>
      <w:proofErr w:type="gramStart"/>
      <w:r w:rsidR="00586F0C" w:rsidRPr="004E1249">
        <w:t>56</w:t>
      </w:r>
      <w:r w:rsidR="006620A6">
        <w:t xml:space="preserve">  due</w:t>
      </w:r>
      <w:proofErr w:type="gramEnd"/>
      <w:r w:rsidR="006620A6">
        <w:t xml:space="preserve"> on </w:t>
      </w:r>
      <w:r w:rsidR="006620A6" w:rsidRPr="006620A6">
        <w:rPr>
          <w:b/>
        </w:rPr>
        <w:t>January 26</w:t>
      </w:r>
      <w:r w:rsidR="006620A6">
        <w:t xml:space="preserve">; </w:t>
      </w:r>
      <w:r w:rsidR="00586F0C" w:rsidRPr="004E1249">
        <w:t xml:space="preserve"> </w:t>
      </w:r>
      <w:r w:rsidR="006620A6">
        <w:t xml:space="preserve">Freund, on </w:t>
      </w:r>
      <w:r w:rsidR="006620A6" w:rsidRPr="006620A6">
        <w:rPr>
          <w:b/>
        </w:rPr>
        <w:t>Feb 16</w:t>
      </w:r>
      <w:r w:rsidR="006620A6">
        <w:rPr>
          <w:b/>
        </w:rPr>
        <w:t xml:space="preserve">; </w:t>
      </w:r>
      <w:proofErr w:type="spellStart"/>
      <w:r w:rsidR="00586F0C" w:rsidRPr="004E1249">
        <w:t>Zeleza</w:t>
      </w:r>
      <w:proofErr w:type="spellEnd"/>
      <w:r w:rsidR="00586F0C" w:rsidRPr="004E1249">
        <w:t>, “The Africa-China Relation</w:t>
      </w:r>
      <w:r w:rsidR="006620A6">
        <w:t>s</w:t>
      </w:r>
      <w:r w:rsidR="00586F0C" w:rsidRPr="004E1249">
        <w:t>hip,”</w:t>
      </w:r>
      <w:r w:rsidR="006620A6">
        <w:t xml:space="preserve"> </w:t>
      </w:r>
      <w:r w:rsidR="006620A6" w:rsidRPr="006620A6">
        <w:rPr>
          <w:b/>
        </w:rPr>
        <w:t>March 2</w:t>
      </w:r>
      <w:r w:rsidR="006620A6">
        <w:t xml:space="preserve">;  </w:t>
      </w:r>
      <w:r w:rsidR="00586F0C" w:rsidRPr="004E1249">
        <w:t xml:space="preserve"> Brautigan, </w:t>
      </w:r>
      <w:r w:rsidR="00586F0C" w:rsidRPr="004E1249">
        <w:rPr>
          <w:i/>
        </w:rPr>
        <w:t>Dragon’s Gift</w:t>
      </w:r>
      <w:r w:rsidR="00586F0C" w:rsidRPr="004E1249">
        <w:t>, 189-231</w:t>
      </w:r>
      <w:r w:rsidR="006620A6">
        <w:t xml:space="preserve"> on </w:t>
      </w:r>
      <w:r w:rsidR="006620A6" w:rsidRPr="006620A6">
        <w:rPr>
          <w:b/>
        </w:rPr>
        <w:t>March 23</w:t>
      </w:r>
      <w:r w:rsidR="006620A6">
        <w:t>.</w:t>
      </w:r>
    </w:p>
    <w:p w:rsidR="006276AF" w:rsidRPr="00A34694" w:rsidRDefault="006276AF" w:rsidP="007259E7">
      <w:pPr>
        <w:suppressAutoHyphens/>
      </w:pPr>
    </w:p>
    <w:p w:rsidR="00383816" w:rsidRDefault="004647BF" w:rsidP="00383816">
      <w:pPr>
        <w:suppressAutoHyphens/>
        <w:rPr>
          <w:sz w:val="28"/>
          <w:szCs w:val="28"/>
        </w:rPr>
      </w:pPr>
      <w:r w:rsidRPr="00A34694">
        <w:rPr>
          <w:spacing w:val="-3"/>
          <w:sz w:val="28"/>
          <w:szCs w:val="28"/>
        </w:rPr>
        <w:t>GRADING</w:t>
      </w:r>
    </w:p>
    <w:p w:rsidR="00E01A58" w:rsidRDefault="003D0C35" w:rsidP="00E01A58">
      <w:pPr>
        <w:suppressAutoHyphens/>
        <w:rPr>
          <w:spacing w:val="-3"/>
        </w:rPr>
      </w:pPr>
      <w:r w:rsidRPr="00A34694">
        <w:rPr>
          <w:spacing w:val="-3"/>
        </w:rPr>
        <w:lastRenderedPageBreak/>
        <w:t xml:space="preserve">Essay is </w:t>
      </w:r>
      <w:r w:rsidR="006276AF">
        <w:rPr>
          <w:b/>
          <w:spacing w:val="-3"/>
        </w:rPr>
        <w:t>35</w:t>
      </w:r>
      <w:r w:rsidR="000A4A6E" w:rsidRPr="00A34694">
        <w:rPr>
          <w:spacing w:val="-3"/>
        </w:rPr>
        <w:t xml:space="preserve">%, </w:t>
      </w:r>
      <w:r w:rsidRPr="00A34694">
        <w:rPr>
          <w:spacing w:val="-3"/>
        </w:rPr>
        <w:t xml:space="preserve">Reviews </w:t>
      </w:r>
      <w:r w:rsidR="003020E8">
        <w:rPr>
          <w:b/>
          <w:spacing w:val="-3"/>
        </w:rPr>
        <w:t>3</w:t>
      </w:r>
      <w:r w:rsidR="006276AF">
        <w:rPr>
          <w:b/>
          <w:spacing w:val="-3"/>
        </w:rPr>
        <w:t>0</w:t>
      </w:r>
      <w:r w:rsidR="000A4A6E" w:rsidRPr="00A34694">
        <w:rPr>
          <w:spacing w:val="-3"/>
        </w:rPr>
        <w:t>%</w:t>
      </w:r>
      <w:r w:rsidR="006276AF">
        <w:rPr>
          <w:spacing w:val="-3"/>
        </w:rPr>
        <w:t xml:space="preserve">; </w:t>
      </w:r>
      <w:r w:rsidR="000A4A6E" w:rsidRPr="00A34694">
        <w:rPr>
          <w:spacing w:val="-3"/>
        </w:rPr>
        <w:t>Attendance</w:t>
      </w:r>
      <w:r w:rsidRPr="00A34694">
        <w:rPr>
          <w:spacing w:val="-3"/>
        </w:rPr>
        <w:t xml:space="preserve">, </w:t>
      </w:r>
      <w:r w:rsidR="000A4A6E" w:rsidRPr="00A34694">
        <w:rPr>
          <w:spacing w:val="-3"/>
        </w:rPr>
        <w:t>Participation</w:t>
      </w:r>
      <w:r w:rsidR="00C55C7C" w:rsidRPr="00A34694">
        <w:rPr>
          <w:spacing w:val="-3"/>
        </w:rPr>
        <w:t xml:space="preserve">, </w:t>
      </w:r>
      <w:r w:rsidR="000A4A6E" w:rsidRPr="00A34694">
        <w:rPr>
          <w:spacing w:val="-3"/>
        </w:rPr>
        <w:t xml:space="preserve">and </w:t>
      </w:r>
      <w:r w:rsidRPr="00A34694">
        <w:rPr>
          <w:spacing w:val="-3"/>
        </w:rPr>
        <w:t xml:space="preserve">Leading Discussion(s) </w:t>
      </w:r>
      <w:r w:rsidR="006276AF">
        <w:rPr>
          <w:b/>
          <w:spacing w:val="-3"/>
        </w:rPr>
        <w:t>3</w:t>
      </w:r>
      <w:r w:rsidR="003020E8">
        <w:rPr>
          <w:b/>
          <w:spacing w:val="-3"/>
        </w:rPr>
        <w:t>5</w:t>
      </w:r>
      <w:r w:rsidRPr="00A34694">
        <w:rPr>
          <w:spacing w:val="-3"/>
        </w:rPr>
        <w:t xml:space="preserve">% of the Total. </w:t>
      </w:r>
    </w:p>
    <w:p w:rsidR="00F53998" w:rsidRPr="00E01A58" w:rsidRDefault="004647BF" w:rsidP="00E01A58">
      <w:pPr>
        <w:suppressAutoHyphens/>
        <w:rPr>
          <w:sz w:val="28"/>
          <w:szCs w:val="28"/>
        </w:rPr>
      </w:pPr>
      <w:r w:rsidRPr="00A34694">
        <w:rPr>
          <w:spacing w:val="-3"/>
          <w:sz w:val="28"/>
          <w:szCs w:val="28"/>
        </w:rPr>
        <w:t>REQUIRED TEXTBOOKS</w:t>
      </w:r>
    </w:p>
    <w:p w:rsidR="00F53998" w:rsidRPr="00A34694" w:rsidRDefault="00925439" w:rsidP="00F53998">
      <w:pPr>
        <w:pStyle w:val="NormalWeb"/>
        <w:spacing w:before="0" w:beforeAutospacing="0" w:after="0" w:afterAutospacing="0"/>
        <w:rPr>
          <w:spacing w:val="-3"/>
        </w:rPr>
      </w:pPr>
      <w:r w:rsidRPr="00A34694">
        <w:t xml:space="preserve">D. </w:t>
      </w:r>
      <w:proofErr w:type="spellStart"/>
      <w:r w:rsidR="00F53998" w:rsidRPr="00A34694">
        <w:t>Brautigam</w:t>
      </w:r>
      <w:proofErr w:type="spellEnd"/>
      <w:r w:rsidR="00F53998" w:rsidRPr="00A34694">
        <w:t xml:space="preserve">, </w:t>
      </w:r>
      <w:r w:rsidR="00F53998" w:rsidRPr="00A34694">
        <w:rPr>
          <w:i/>
        </w:rPr>
        <w:t>The Dragon’s Gift: The Real Story of China in Africa</w:t>
      </w:r>
      <w:r w:rsidRPr="00A34694">
        <w:t xml:space="preserve"> (</w:t>
      </w:r>
      <w:r w:rsidR="00F53998" w:rsidRPr="00A34694">
        <w:t>Oxford University Press, 2011</w:t>
      </w:r>
      <w:r w:rsidRPr="00A34694">
        <w:t>)</w:t>
      </w:r>
      <w:r w:rsidR="00F53998" w:rsidRPr="00A34694">
        <w:t>.</w:t>
      </w:r>
    </w:p>
    <w:p w:rsidR="00054876" w:rsidRPr="00A34694" w:rsidRDefault="00BC546C" w:rsidP="00F53998">
      <w:pPr>
        <w:spacing w:before="0" w:beforeAutospacing="0" w:after="0" w:afterAutospacing="0"/>
      </w:pPr>
      <w:r w:rsidRPr="00A34694">
        <w:t xml:space="preserve">J. Clegg, </w:t>
      </w:r>
      <w:r w:rsidRPr="00A34694">
        <w:rPr>
          <w:i/>
        </w:rPr>
        <w:t>China’s Global Strategy: Toward a Multipolar World</w:t>
      </w:r>
      <w:r w:rsidRPr="00A34694">
        <w:t xml:space="preserve"> (Pluto Press, 2009). </w:t>
      </w:r>
    </w:p>
    <w:p w:rsidR="00C605EC" w:rsidRPr="00A34694" w:rsidRDefault="00C605EC" w:rsidP="00C605EC">
      <w:pPr>
        <w:spacing w:before="0" w:beforeAutospacing="0" w:after="0" w:afterAutospacing="0"/>
        <w:contextualSpacing/>
        <w:rPr>
          <w:b/>
        </w:rPr>
      </w:pPr>
    </w:p>
    <w:p w:rsidR="00C605EC" w:rsidRPr="00A34694" w:rsidRDefault="00C605EC" w:rsidP="00C605EC">
      <w:pPr>
        <w:spacing w:before="0" w:beforeAutospacing="0" w:after="0" w:afterAutospacing="0"/>
        <w:contextualSpacing/>
      </w:pPr>
    </w:p>
    <w:p w:rsidR="00CE6F19" w:rsidRPr="00A34694" w:rsidRDefault="004647BF" w:rsidP="007D7C02">
      <w:pPr>
        <w:pStyle w:val="NormalWeb"/>
        <w:rPr>
          <w:spacing w:val="-3"/>
          <w:sz w:val="28"/>
          <w:szCs w:val="28"/>
        </w:rPr>
      </w:pPr>
      <w:r w:rsidRPr="00A34694">
        <w:rPr>
          <w:spacing w:val="-3"/>
          <w:sz w:val="28"/>
          <w:szCs w:val="28"/>
        </w:rPr>
        <w:t>COURSE OUTLINE</w:t>
      </w:r>
    </w:p>
    <w:p w:rsidR="00BB33FA" w:rsidRPr="003020E8" w:rsidRDefault="00E01A58" w:rsidP="00F53998">
      <w:pPr>
        <w:suppressAutoHyphens/>
        <w:spacing w:before="0" w:beforeAutospacing="0" w:after="0" w:afterAutospacing="0"/>
        <w:rPr>
          <w:spacing w:val="-3"/>
          <w:sz w:val="28"/>
          <w:szCs w:val="28"/>
        </w:rPr>
      </w:pPr>
      <w:r>
        <w:rPr>
          <w:spacing w:val="-3"/>
          <w:sz w:val="28"/>
          <w:szCs w:val="28"/>
        </w:rPr>
        <w:t>Jan 12</w:t>
      </w:r>
      <w:r>
        <w:rPr>
          <w:spacing w:val="-3"/>
          <w:sz w:val="28"/>
          <w:szCs w:val="28"/>
        </w:rPr>
        <w:tab/>
      </w:r>
      <w:r w:rsidR="00CE6F19" w:rsidRPr="003020E8">
        <w:rPr>
          <w:spacing w:val="-3"/>
          <w:sz w:val="28"/>
          <w:szCs w:val="28"/>
        </w:rPr>
        <w:tab/>
      </w:r>
      <w:r w:rsidR="0015166E" w:rsidRPr="003020E8">
        <w:rPr>
          <w:b/>
          <w:spacing w:val="-3"/>
          <w:sz w:val="28"/>
          <w:szCs w:val="28"/>
        </w:rPr>
        <w:t>Scope and Objectives</w:t>
      </w:r>
      <w:r w:rsidR="0015166E" w:rsidRPr="003020E8">
        <w:rPr>
          <w:spacing w:val="-3"/>
          <w:sz w:val="28"/>
          <w:szCs w:val="28"/>
        </w:rPr>
        <w:t xml:space="preserve"> </w:t>
      </w:r>
      <w:r w:rsidR="00CE6F19" w:rsidRPr="003020E8">
        <w:rPr>
          <w:spacing w:val="-3"/>
          <w:sz w:val="28"/>
          <w:szCs w:val="28"/>
        </w:rPr>
        <w:t xml:space="preserve"> </w:t>
      </w:r>
      <w:r w:rsidR="00C87993" w:rsidRPr="003020E8">
        <w:rPr>
          <w:spacing w:val="-3"/>
          <w:sz w:val="28"/>
          <w:szCs w:val="28"/>
        </w:rPr>
        <w:t xml:space="preserve"> </w:t>
      </w:r>
    </w:p>
    <w:p w:rsidR="007D7C02" w:rsidRPr="00A34694" w:rsidRDefault="007D7C02" w:rsidP="00F53998">
      <w:pPr>
        <w:suppressAutoHyphens/>
        <w:spacing w:before="0" w:beforeAutospacing="0" w:after="0" w:afterAutospacing="0"/>
        <w:rPr>
          <w:rFonts w:eastAsia="Times New Roman"/>
          <w:b/>
        </w:rPr>
      </w:pPr>
    </w:p>
    <w:p w:rsidR="00EC4927" w:rsidRPr="00A34694" w:rsidRDefault="00EC4927" w:rsidP="008D26FF">
      <w:pPr>
        <w:tabs>
          <w:tab w:val="left" w:pos="-720"/>
        </w:tabs>
        <w:suppressAutoHyphens/>
        <w:spacing w:before="0" w:beforeAutospacing="0" w:after="0" w:afterAutospacing="0"/>
        <w:contextualSpacing/>
        <w:rPr>
          <w:spacing w:val="-3"/>
        </w:rPr>
      </w:pPr>
    </w:p>
    <w:p w:rsidR="00FB1A8D" w:rsidRPr="00557AF2" w:rsidRDefault="00EC4927" w:rsidP="008D26FF">
      <w:pPr>
        <w:tabs>
          <w:tab w:val="left" w:pos="-720"/>
        </w:tabs>
        <w:suppressAutoHyphens/>
        <w:spacing w:before="0" w:beforeAutospacing="0" w:after="0" w:afterAutospacing="0"/>
        <w:contextualSpacing/>
        <w:rPr>
          <w:i/>
          <w:spacing w:val="-3"/>
          <w:sz w:val="32"/>
          <w:szCs w:val="32"/>
        </w:rPr>
      </w:pPr>
      <w:r w:rsidRPr="00557AF2">
        <w:rPr>
          <w:i/>
          <w:spacing w:val="-3"/>
          <w:sz w:val="32"/>
          <w:szCs w:val="32"/>
        </w:rPr>
        <w:t xml:space="preserve">PART I: AFRICA AND </w:t>
      </w:r>
      <w:r w:rsidR="002752EA" w:rsidRPr="00557AF2">
        <w:rPr>
          <w:i/>
          <w:spacing w:val="-3"/>
          <w:sz w:val="32"/>
          <w:szCs w:val="32"/>
        </w:rPr>
        <w:t>CHINA UNDER WESTERN DOMINATION</w:t>
      </w:r>
      <w:r w:rsidR="00FB1A8D" w:rsidRPr="00557AF2">
        <w:rPr>
          <w:i/>
          <w:spacing w:val="-3"/>
          <w:sz w:val="32"/>
          <w:szCs w:val="32"/>
        </w:rPr>
        <w:t>, 1830s-</w:t>
      </w:r>
      <w:r w:rsidR="005221E9" w:rsidRPr="00557AF2">
        <w:rPr>
          <w:i/>
          <w:spacing w:val="-3"/>
          <w:sz w:val="32"/>
          <w:szCs w:val="32"/>
        </w:rPr>
        <w:t>WWII</w:t>
      </w:r>
    </w:p>
    <w:p w:rsidR="00CD34DB" w:rsidRPr="00557AF2" w:rsidRDefault="00CD34DB" w:rsidP="008D26FF">
      <w:pPr>
        <w:tabs>
          <w:tab w:val="left" w:pos="-720"/>
        </w:tabs>
        <w:suppressAutoHyphens/>
        <w:spacing w:before="0" w:beforeAutospacing="0" w:after="0" w:afterAutospacing="0"/>
        <w:contextualSpacing/>
        <w:rPr>
          <w:b/>
          <w:spacing w:val="-3"/>
          <w:sz w:val="32"/>
          <w:szCs w:val="32"/>
        </w:rPr>
      </w:pPr>
    </w:p>
    <w:p w:rsidR="009908A6" w:rsidRDefault="009908A6" w:rsidP="00F53998">
      <w:pPr>
        <w:spacing w:before="0" w:beforeAutospacing="0" w:after="0" w:afterAutospacing="0"/>
        <w:rPr>
          <w:spacing w:val="-3"/>
          <w:sz w:val="28"/>
          <w:szCs w:val="28"/>
        </w:rPr>
      </w:pPr>
    </w:p>
    <w:p w:rsidR="008D26FF" w:rsidRPr="00557AF2" w:rsidRDefault="00E01A58" w:rsidP="00F53998">
      <w:pPr>
        <w:spacing w:before="0" w:beforeAutospacing="0" w:after="0" w:afterAutospacing="0"/>
        <w:rPr>
          <w:sz w:val="28"/>
          <w:szCs w:val="28"/>
        </w:rPr>
      </w:pPr>
      <w:proofErr w:type="gramStart"/>
      <w:r>
        <w:rPr>
          <w:spacing w:val="-3"/>
          <w:sz w:val="28"/>
          <w:szCs w:val="28"/>
        </w:rPr>
        <w:t xml:space="preserve">Jan </w:t>
      </w:r>
      <w:r w:rsidR="003E5663">
        <w:rPr>
          <w:spacing w:val="-3"/>
          <w:sz w:val="28"/>
          <w:szCs w:val="28"/>
        </w:rPr>
        <w:t xml:space="preserve"> </w:t>
      </w:r>
      <w:r>
        <w:rPr>
          <w:spacing w:val="-3"/>
          <w:sz w:val="28"/>
          <w:szCs w:val="28"/>
        </w:rPr>
        <w:t>17</w:t>
      </w:r>
      <w:proofErr w:type="gramEnd"/>
      <w:r>
        <w:rPr>
          <w:spacing w:val="-3"/>
          <w:sz w:val="28"/>
          <w:szCs w:val="28"/>
        </w:rPr>
        <w:t>-19</w:t>
      </w:r>
      <w:r w:rsidR="00230013" w:rsidRPr="00557AF2">
        <w:rPr>
          <w:spacing w:val="-3"/>
          <w:sz w:val="28"/>
          <w:szCs w:val="28"/>
        </w:rPr>
        <w:t xml:space="preserve"> </w:t>
      </w:r>
      <w:r>
        <w:rPr>
          <w:spacing w:val="-3"/>
          <w:sz w:val="28"/>
          <w:szCs w:val="28"/>
        </w:rPr>
        <w:t>:</w:t>
      </w:r>
      <w:r w:rsidRPr="00E01A58">
        <w:rPr>
          <w:b/>
          <w:sz w:val="28"/>
          <w:szCs w:val="28"/>
        </w:rPr>
        <w:t xml:space="preserve"> </w:t>
      </w:r>
      <w:r w:rsidRPr="00557AF2">
        <w:rPr>
          <w:b/>
          <w:sz w:val="28"/>
          <w:szCs w:val="28"/>
        </w:rPr>
        <w:t xml:space="preserve">The Depopulation and Looting of </w:t>
      </w:r>
      <w:r w:rsidR="003E25B4">
        <w:rPr>
          <w:b/>
          <w:sz w:val="28"/>
          <w:szCs w:val="28"/>
        </w:rPr>
        <w:t xml:space="preserve">Africa: </w:t>
      </w:r>
      <w:r w:rsidR="009B0202" w:rsidRPr="00557AF2">
        <w:rPr>
          <w:b/>
          <w:spacing w:val="-3"/>
          <w:sz w:val="28"/>
          <w:szCs w:val="28"/>
        </w:rPr>
        <w:t>An Overview</w:t>
      </w:r>
    </w:p>
    <w:p w:rsidR="008D26FF" w:rsidRPr="00A34694" w:rsidRDefault="009E37BC" w:rsidP="008D26FF">
      <w:pPr>
        <w:spacing w:before="0" w:beforeAutospacing="0" w:after="0" w:afterAutospacing="0"/>
        <w:rPr>
          <w:spacing w:val="-3"/>
        </w:rPr>
      </w:pPr>
      <w:r w:rsidRPr="00A34694">
        <w:rPr>
          <w:spacing w:val="-3"/>
        </w:rPr>
        <w:t xml:space="preserve"> </w:t>
      </w:r>
    </w:p>
    <w:p w:rsidR="005463EE" w:rsidRPr="00E01A58" w:rsidRDefault="00840DBC" w:rsidP="00E01A58">
      <w:pPr>
        <w:spacing w:before="0" w:beforeAutospacing="0" w:after="0" w:afterAutospacing="0"/>
        <w:rPr>
          <w:spacing w:val="-3"/>
          <w:sz w:val="28"/>
          <w:szCs w:val="28"/>
        </w:rPr>
      </w:pPr>
      <w:r w:rsidRPr="00A34694">
        <w:t></w:t>
      </w:r>
      <w:r w:rsidR="00957521" w:rsidRPr="00A34694">
        <w:rPr>
          <w:spacing w:val="-3"/>
        </w:rPr>
        <w:t xml:space="preserve">E. Mandala, Notes on </w:t>
      </w:r>
      <w:r w:rsidR="00537BF4" w:rsidRPr="00A34694">
        <w:rPr>
          <w:spacing w:val="-3"/>
        </w:rPr>
        <w:t>The Atlant</w:t>
      </w:r>
      <w:r w:rsidR="005463EE" w:rsidRPr="00A34694">
        <w:rPr>
          <w:spacing w:val="-3"/>
        </w:rPr>
        <w:t xml:space="preserve">ic Slave Trade, </w:t>
      </w:r>
      <w:r w:rsidR="00957521" w:rsidRPr="00A34694">
        <w:rPr>
          <w:spacing w:val="-3"/>
        </w:rPr>
        <w:t xml:space="preserve">African </w:t>
      </w:r>
      <w:r w:rsidR="00DE3320" w:rsidRPr="00A34694">
        <w:rPr>
          <w:spacing w:val="-3"/>
        </w:rPr>
        <w:t>Peasantries.</w:t>
      </w:r>
    </w:p>
    <w:p w:rsidR="00DE3320" w:rsidRPr="00A34694" w:rsidRDefault="00DE3320" w:rsidP="00DE3320">
      <w:pPr>
        <w:tabs>
          <w:tab w:val="left" w:pos="-720"/>
        </w:tabs>
        <w:suppressAutoHyphens/>
        <w:spacing w:before="0" w:beforeAutospacing="0" w:after="0" w:afterAutospacing="0"/>
        <w:contextualSpacing/>
      </w:pPr>
      <w:r w:rsidRPr="00A34694">
        <w:t xml:space="preserve"> E.R. Wolf, </w:t>
      </w:r>
      <w:r w:rsidRPr="00A34694">
        <w:rPr>
          <w:i/>
        </w:rPr>
        <w:t>Europe and the People Without History</w:t>
      </w:r>
      <w:r w:rsidRPr="00A34694">
        <w:t xml:space="preserve"> (University of California Press, 1982), 354-63. </w:t>
      </w:r>
    </w:p>
    <w:p w:rsidR="00122BD2" w:rsidRPr="00A34694" w:rsidRDefault="008F2E2F" w:rsidP="00F11DF9">
      <w:pPr>
        <w:tabs>
          <w:tab w:val="left" w:pos="-720"/>
        </w:tabs>
        <w:suppressAutoHyphens/>
        <w:spacing w:before="0" w:beforeAutospacing="0" w:after="0" w:afterAutospacing="0"/>
        <w:contextualSpacing/>
      </w:pPr>
      <w:r w:rsidRPr="00A34694">
        <w:t> Video: “Gold Widows” (52 minutes)</w:t>
      </w:r>
    </w:p>
    <w:p w:rsidR="00511E02" w:rsidRPr="00A34694" w:rsidRDefault="00511E02" w:rsidP="00F11DF9">
      <w:pPr>
        <w:tabs>
          <w:tab w:val="left" w:pos="-720"/>
        </w:tabs>
        <w:suppressAutoHyphens/>
        <w:spacing w:before="0" w:beforeAutospacing="0" w:after="0" w:afterAutospacing="0"/>
        <w:contextualSpacing/>
      </w:pPr>
    </w:p>
    <w:p w:rsidR="00F11DF9" w:rsidRPr="00557AF2" w:rsidRDefault="00E01A58" w:rsidP="00F11DF9">
      <w:pPr>
        <w:tabs>
          <w:tab w:val="left" w:pos="-720"/>
        </w:tabs>
        <w:suppressAutoHyphens/>
        <w:spacing w:before="0" w:beforeAutospacing="0" w:after="0" w:afterAutospacing="0"/>
        <w:contextualSpacing/>
        <w:rPr>
          <w:sz w:val="28"/>
          <w:szCs w:val="28"/>
        </w:rPr>
      </w:pPr>
      <w:r>
        <w:rPr>
          <w:spacing w:val="-3"/>
          <w:sz w:val="28"/>
          <w:szCs w:val="28"/>
        </w:rPr>
        <w:t>Jan 24-26:</w:t>
      </w:r>
      <w:r w:rsidR="00CD34DB" w:rsidRPr="00557AF2">
        <w:rPr>
          <w:spacing w:val="-3"/>
          <w:sz w:val="28"/>
          <w:szCs w:val="28"/>
        </w:rPr>
        <w:tab/>
      </w:r>
      <w:r w:rsidR="00CD34DB" w:rsidRPr="00557AF2">
        <w:rPr>
          <w:b/>
          <w:spacing w:val="-3"/>
          <w:sz w:val="28"/>
          <w:szCs w:val="28"/>
        </w:rPr>
        <w:t>Decolonization and Structural Adjustment Programs</w:t>
      </w:r>
      <w:r w:rsidR="00741AB4" w:rsidRPr="00557AF2">
        <w:rPr>
          <w:b/>
          <w:spacing w:val="-3"/>
          <w:sz w:val="28"/>
          <w:szCs w:val="28"/>
        </w:rPr>
        <w:t xml:space="preserve"> </w:t>
      </w:r>
      <w:r w:rsidR="00741AB4" w:rsidRPr="00557AF2">
        <w:rPr>
          <w:spacing w:val="-3"/>
          <w:sz w:val="28"/>
          <w:szCs w:val="28"/>
        </w:rPr>
        <w:tab/>
      </w:r>
      <w:r w:rsidR="00F4357F" w:rsidRPr="00557AF2">
        <w:rPr>
          <w:spacing w:val="-3"/>
          <w:sz w:val="28"/>
          <w:szCs w:val="28"/>
        </w:rPr>
        <w:tab/>
      </w:r>
      <w:r w:rsidR="00230013" w:rsidRPr="00557AF2">
        <w:rPr>
          <w:spacing w:val="-3"/>
          <w:sz w:val="28"/>
          <w:szCs w:val="28"/>
        </w:rPr>
        <w:t xml:space="preserve"> </w:t>
      </w:r>
    </w:p>
    <w:p w:rsidR="00F11DF9" w:rsidRPr="00A34694" w:rsidRDefault="00F11DF9" w:rsidP="00F11DF9">
      <w:pPr>
        <w:tabs>
          <w:tab w:val="left" w:pos="-720"/>
        </w:tabs>
        <w:suppressAutoHyphens/>
        <w:spacing w:before="0" w:beforeAutospacing="0" w:after="0" w:afterAutospacing="0"/>
        <w:contextualSpacing/>
        <w:rPr>
          <w:b/>
          <w:spacing w:val="-3"/>
        </w:rPr>
      </w:pPr>
      <w:r w:rsidRPr="00A34694">
        <w:rPr>
          <w:b/>
          <w:spacing w:val="-3"/>
        </w:rPr>
        <w:t></w:t>
      </w:r>
      <w:r w:rsidRPr="00A34694">
        <w:rPr>
          <w:spacing w:val="-3"/>
        </w:rPr>
        <w:t xml:space="preserve"> B. Freund, </w:t>
      </w:r>
      <w:r w:rsidRPr="00A34694">
        <w:rPr>
          <w:i/>
          <w:spacing w:val="-3"/>
        </w:rPr>
        <w:t>The Making of Contemporary Africa</w:t>
      </w:r>
      <w:r w:rsidRPr="00A34694">
        <w:rPr>
          <w:spacing w:val="-3"/>
        </w:rPr>
        <w:t xml:space="preserve"> (Bloomington, IN: Indiana University Press, 1984): 191-233.</w:t>
      </w:r>
    </w:p>
    <w:p w:rsidR="00CD34DB" w:rsidRPr="00A34694" w:rsidRDefault="00840DBC" w:rsidP="00CD34DB">
      <w:pPr>
        <w:tabs>
          <w:tab w:val="left" w:pos="-720"/>
        </w:tabs>
        <w:suppressAutoHyphens/>
        <w:spacing w:before="0" w:beforeAutospacing="0" w:after="0" w:afterAutospacing="0"/>
        <w:contextualSpacing/>
        <w:rPr>
          <w:b/>
          <w:spacing w:val="-3"/>
        </w:rPr>
      </w:pPr>
      <w:r w:rsidRPr="00A34694">
        <w:t></w:t>
      </w:r>
      <w:r w:rsidR="00CD34DB" w:rsidRPr="00A34694">
        <w:rPr>
          <w:spacing w:val="-3"/>
        </w:rPr>
        <w:t xml:space="preserve">Nugent, </w:t>
      </w:r>
      <w:r w:rsidR="00CD34DB" w:rsidRPr="00A34694">
        <w:rPr>
          <w:i/>
        </w:rPr>
        <w:t>Africa Since Independence</w:t>
      </w:r>
      <w:r w:rsidR="00CD34DB" w:rsidRPr="00A34694">
        <w:t xml:space="preserve">: </w:t>
      </w:r>
      <w:r w:rsidR="00CD34DB" w:rsidRPr="00A34694">
        <w:rPr>
          <w:i/>
        </w:rPr>
        <w:t xml:space="preserve">A Comparative </w:t>
      </w:r>
      <w:proofErr w:type="gramStart"/>
      <w:r w:rsidR="00CD34DB" w:rsidRPr="00A34694">
        <w:rPr>
          <w:i/>
        </w:rPr>
        <w:t>History</w:t>
      </w:r>
      <w:r w:rsidR="00CD34DB" w:rsidRPr="00A34694">
        <w:t xml:space="preserve"> </w:t>
      </w:r>
      <w:r w:rsidR="00CD34DB" w:rsidRPr="00A34694">
        <w:rPr>
          <w:rFonts w:eastAsia="Times New Roman"/>
        </w:rPr>
        <w:t xml:space="preserve"> (</w:t>
      </w:r>
      <w:proofErr w:type="gramEnd"/>
      <w:r w:rsidR="00CD34DB" w:rsidRPr="00A34694">
        <w:rPr>
          <w:rFonts w:eastAsia="Times New Roman"/>
        </w:rPr>
        <w:t>Imprint, 2</w:t>
      </w:r>
      <w:r w:rsidR="00CD34DB" w:rsidRPr="00A34694">
        <w:rPr>
          <w:rFonts w:eastAsia="Times New Roman"/>
          <w:vertAlign w:val="superscript"/>
        </w:rPr>
        <w:t>nd</w:t>
      </w:r>
      <w:r w:rsidR="00CD34DB" w:rsidRPr="00A34694">
        <w:rPr>
          <w:rFonts w:eastAsia="Times New Roman"/>
        </w:rPr>
        <w:t xml:space="preserve"> Edition, </w:t>
      </w:r>
    </w:p>
    <w:p w:rsidR="00965B00" w:rsidRPr="00A34694" w:rsidRDefault="00CD34DB" w:rsidP="00965B00">
      <w:pPr>
        <w:spacing w:before="0" w:beforeAutospacing="0" w:after="0" w:afterAutospacing="0"/>
        <w:jc w:val="left"/>
      </w:pPr>
      <w:r w:rsidRPr="00A34694">
        <w:rPr>
          <w:rFonts w:eastAsia="Times New Roman"/>
        </w:rPr>
        <w:t xml:space="preserve">Basingstoke, </w:t>
      </w:r>
      <w:proofErr w:type="gramStart"/>
      <w:r w:rsidRPr="00A34694">
        <w:rPr>
          <w:rFonts w:eastAsia="Times New Roman"/>
        </w:rPr>
        <w:t>Hampshire ;</w:t>
      </w:r>
      <w:proofErr w:type="gramEnd"/>
      <w:r w:rsidRPr="00A34694">
        <w:rPr>
          <w:rFonts w:eastAsia="Times New Roman"/>
        </w:rPr>
        <w:t xml:space="preserve"> New York : Palgrave Macmillan, 2012), </w:t>
      </w:r>
      <w:r w:rsidR="008A6945" w:rsidRPr="00A34694">
        <w:t>326-47.</w:t>
      </w:r>
    </w:p>
    <w:p w:rsidR="00393871" w:rsidRPr="00A34694" w:rsidRDefault="00393871" w:rsidP="00F53998">
      <w:pPr>
        <w:spacing w:before="0" w:beforeAutospacing="0" w:after="0" w:afterAutospacing="0"/>
        <w:contextualSpacing/>
        <w:rPr>
          <w:b/>
        </w:rPr>
      </w:pPr>
    </w:p>
    <w:p w:rsidR="00BB0CC5" w:rsidRPr="00557AF2" w:rsidRDefault="0043653B" w:rsidP="00F53998">
      <w:pPr>
        <w:spacing w:before="0" w:beforeAutospacing="0" w:after="0" w:afterAutospacing="0"/>
        <w:contextualSpacing/>
        <w:rPr>
          <w:sz w:val="28"/>
          <w:szCs w:val="28"/>
        </w:rPr>
      </w:pPr>
      <w:r>
        <w:rPr>
          <w:sz w:val="28"/>
          <w:szCs w:val="28"/>
        </w:rPr>
        <w:t>Jan 31-Feb 7:</w:t>
      </w:r>
      <w:r w:rsidR="00F45987" w:rsidRPr="00557AF2">
        <w:rPr>
          <w:sz w:val="28"/>
          <w:szCs w:val="28"/>
        </w:rPr>
        <w:t xml:space="preserve"> </w:t>
      </w:r>
      <w:r w:rsidR="00F45987" w:rsidRPr="00557AF2">
        <w:rPr>
          <w:sz w:val="28"/>
          <w:szCs w:val="28"/>
        </w:rPr>
        <w:tab/>
      </w:r>
      <w:r w:rsidR="00537BF4" w:rsidRPr="00557AF2">
        <w:rPr>
          <w:b/>
          <w:sz w:val="28"/>
          <w:szCs w:val="28"/>
        </w:rPr>
        <w:t>China Enters the Global South</w:t>
      </w:r>
    </w:p>
    <w:p w:rsidR="00FF6B15" w:rsidRDefault="00840DBC" w:rsidP="00F53998">
      <w:pPr>
        <w:spacing w:before="0" w:beforeAutospacing="0" w:after="0" w:afterAutospacing="0"/>
        <w:contextualSpacing/>
      </w:pPr>
      <w:r w:rsidRPr="00A34694">
        <w:t></w:t>
      </w:r>
      <w:r w:rsidR="00BB0CC5" w:rsidRPr="00A34694">
        <w:rPr>
          <w:spacing w:val="-3"/>
        </w:rPr>
        <w:t xml:space="preserve">L.S. </w:t>
      </w:r>
      <w:proofErr w:type="spellStart"/>
      <w:r w:rsidR="00BB0CC5" w:rsidRPr="00A34694">
        <w:rPr>
          <w:spacing w:val="-3"/>
        </w:rPr>
        <w:t>Stavrianos</w:t>
      </w:r>
      <w:proofErr w:type="spellEnd"/>
      <w:r w:rsidR="00BB0CC5" w:rsidRPr="00A34694">
        <w:rPr>
          <w:spacing w:val="-3"/>
        </w:rPr>
        <w:t>,</w:t>
      </w:r>
      <w:r w:rsidR="00BB0CC5" w:rsidRPr="00A34694">
        <w:rPr>
          <w:i/>
          <w:spacing w:val="-3"/>
        </w:rPr>
        <w:t xml:space="preserve"> Global Rift: The Third World Comes of </w:t>
      </w:r>
      <w:r w:rsidR="00BB0CC5" w:rsidRPr="00A34694">
        <w:rPr>
          <w:spacing w:val="-3"/>
        </w:rPr>
        <w:t xml:space="preserve">Age (New York: William Morrow and Co., 1981), </w:t>
      </w:r>
      <w:r w:rsidR="00F15A97">
        <w:t>309-332.</w:t>
      </w:r>
    </w:p>
    <w:p w:rsidR="00C07FFB" w:rsidRDefault="00C07FFB" w:rsidP="00F53998">
      <w:pPr>
        <w:spacing w:before="0" w:beforeAutospacing="0" w:after="0" w:afterAutospacing="0"/>
        <w:contextualSpacing/>
      </w:pPr>
    </w:p>
    <w:p w:rsidR="00C07FFB" w:rsidRDefault="0043653B" w:rsidP="00C07FFB">
      <w:pPr>
        <w:spacing w:before="0" w:beforeAutospacing="0" w:after="0" w:afterAutospacing="0"/>
        <w:contextualSpacing/>
        <w:rPr>
          <w:b/>
          <w:sz w:val="28"/>
          <w:szCs w:val="28"/>
        </w:rPr>
      </w:pPr>
      <w:r>
        <w:rPr>
          <w:sz w:val="28"/>
          <w:szCs w:val="28"/>
        </w:rPr>
        <w:t>Feb 9</w:t>
      </w:r>
      <w:r w:rsidR="00C07FFB" w:rsidRPr="00557AF2">
        <w:rPr>
          <w:sz w:val="28"/>
          <w:szCs w:val="28"/>
        </w:rPr>
        <w:t xml:space="preserve">: </w:t>
      </w:r>
      <w:r>
        <w:rPr>
          <w:sz w:val="28"/>
          <w:szCs w:val="28"/>
        </w:rPr>
        <w:t xml:space="preserve"> </w:t>
      </w:r>
      <w:r w:rsidR="00C07FFB" w:rsidRPr="00557AF2">
        <w:rPr>
          <w:b/>
          <w:sz w:val="28"/>
          <w:szCs w:val="28"/>
        </w:rPr>
        <w:t>How the West “Lost” China</w:t>
      </w:r>
    </w:p>
    <w:p w:rsidR="00F15A97" w:rsidRDefault="00F15A97" w:rsidP="00C07FFB">
      <w:pPr>
        <w:spacing w:before="0" w:beforeAutospacing="0" w:after="0" w:afterAutospacing="0"/>
        <w:contextualSpacing/>
      </w:pPr>
      <w:r w:rsidRPr="00A34694">
        <w:t></w:t>
      </w:r>
      <w:proofErr w:type="spellStart"/>
      <w:r>
        <w:rPr>
          <w:spacing w:val="-3"/>
        </w:rPr>
        <w:t>L.</w:t>
      </w:r>
      <w:r w:rsidRPr="00A34694">
        <w:rPr>
          <w:spacing w:val="-3"/>
        </w:rPr>
        <w:t>Stavrianos</w:t>
      </w:r>
      <w:proofErr w:type="spellEnd"/>
      <w:r w:rsidRPr="00A34694">
        <w:rPr>
          <w:spacing w:val="-3"/>
        </w:rPr>
        <w:t>,</w:t>
      </w:r>
      <w:r>
        <w:rPr>
          <w:i/>
          <w:spacing w:val="-3"/>
        </w:rPr>
        <w:t xml:space="preserve"> Global </w:t>
      </w:r>
      <w:r w:rsidRPr="00F15A97">
        <w:rPr>
          <w:spacing w:val="-3"/>
        </w:rPr>
        <w:t>Rift</w:t>
      </w:r>
      <w:r>
        <w:rPr>
          <w:spacing w:val="-3"/>
        </w:rPr>
        <w:t xml:space="preserve">, </w:t>
      </w:r>
      <w:r w:rsidRPr="00A34694">
        <w:t>589-622</w:t>
      </w:r>
    </w:p>
    <w:p w:rsidR="00F15A97" w:rsidRDefault="00F15A97" w:rsidP="00C07FFB">
      <w:pPr>
        <w:spacing w:before="0" w:beforeAutospacing="0" w:after="0" w:afterAutospacing="0"/>
        <w:contextualSpacing/>
      </w:pPr>
    </w:p>
    <w:p w:rsidR="00F15A97" w:rsidRPr="00EB4191" w:rsidRDefault="00F15A97" w:rsidP="00C07FFB">
      <w:pPr>
        <w:spacing w:before="0" w:beforeAutospacing="0" w:after="0" w:afterAutospacing="0"/>
        <w:contextualSpacing/>
        <w:rPr>
          <w:b/>
          <w:sz w:val="28"/>
          <w:szCs w:val="28"/>
        </w:rPr>
      </w:pPr>
      <w:r>
        <w:t xml:space="preserve"> </w:t>
      </w:r>
      <w:r w:rsidR="0043653B">
        <w:rPr>
          <w:sz w:val="28"/>
          <w:szCs w:val="28"/>
        </w:rPr>
        <w:t>Feb 14</w:t>
      </w:r>
      <w:r w:rsidR="003665AB">
        <w:rPr>
          <w:sz w:val="28"/>
          <w:szCs w:val="28"/>
        </w:rPr>
        <w:t>, 16</w:t>
      </w:r>
      <w:r w:rsidRPr="002F09D1">
        <w:rPr>
          <w:sz w:val="28"/>
          <w:szCs w:val="28"/>
        </w:rPr>
        <w:t>:</w:t>
      </w:r>
      <w:r w:rsidRPr="00EB4191">
        <w:rPr>
          <w:b/>
          <w:sz w:val="28"/>
          <w:szCs w:val="28"/>
        </w:rPr>
        <w:t xml:space="preserve"> </w:t>
      </w:r>
      <w:r w:rsidRPr="00EB4191">
        <w:rPr>
          <w:b/>
          <w:sz w:val="28"/>
          <w:szCs w:val="28"/>
        </w:rPr>
        <w:tab/>
        <w:t>Chinese Revolutions, 1911-1949</w:t>
      </w:r>
    </w:p>
    <w:p w:rsidR="00C07FFB" w:rsidRPr="00A34694" w:rsidRDefault="00C07FFB" w:rsidP="00C07FFB">
      <w:pPr>
        <w:spacing w:before="0" w:beforeAutospacing="0" w:after="0" w:afterAutospacing="0"/>
        <w:contextualSpacing/>
        <w:rPr>
          <w:spacing w:val="-3"/>
        </w:rPr>
      </w:pPr>
      <w:r w:rsidRPr="00A34694">
        <w:t></w:t>
      </w:r>
      <w:r w:rsidRPr="00A34694">
        <w:rPr>
          <w:spacing w:val="-3"/>
        </w:rPr>
        <w:t xml:space="preserve">Video: “China: A Century of Revolution, Part I: China in Revolution, Chapter 9 (1911-1949).” </w:t>
      </w:r>
    </w:p>
    <w:p w:rsidR="00C07FFB" w:rsidRPr="00A34694" w:rsidRDefault="00C07FFB" w:rsidP="00C07FFB">
      <w:pPr>
        <w:spacing w:before="0" w:beforeAutospacing="0" w:after="0" w:afterAutospacing="0"/>
        <w:contextualSpacing/>
      </w:pPr>
    </w:p>
    <w:p w:rsidR="00C07FFB" w:rsidRPr="00A34694" w:rsidRDefault="00C07FFB" w:rsidP="00F53998">
      <w:pPr>
        <w:spacing w:before="0" w:beforeAutospacing="0" w:after="0" w:afterAutospacing="0"/>
        <w:contextualSpacing/>
      </w:pPr>
    </w:p>
    <w:p w:rsidR="00122BD2" w:rsidRPr="00557AF2" w:rsidRDefault="00866E80" w:rsidP="00F661EF">
      <w:pPr>
        <w:spacing w:before="0" w:beforeAutospacing="0" w:after="0" w:afterAutospacing="0"/>
        <w:contextualSpacing/>
        <w:rPr>
          <w:i/>
          <w:sz w:val="32"/>
          <w:szCs w:val="32"/>
        </w:rPr>
      </w:pPr>
      <w:r w:rsidRPr="00557AF2">
        <w:rPr>
          <w:i/>
          <w:sz w:val="32"/>
          <w:szCs w:val="32"/>
        </w:rPr>
        <w:t xml:space="preserve">PART II: </w:t>
      </w:r>
      <w:r w:rsidR="00DE3320" w:rsidRPr="00557AF2">
        <w:rPr>
          <w:i/>
          <w:sz w:val="32"/>
          <w:szCs w:val="32"/>
        </w:rPr>
        <w:t xml:space="preserve">CHINA’S </w:t>
      </w:r>
      <w:r w:rsidR="00FA7374" w:rsidRPr="00557AF2">
        <w:rPr>
          <w:i/>
          <w:sz w:val="32"/>
          <w:szCs w:val="32"/>
        </w:rPr>
        <w:t xml:space="preserve">DRIVE TOWARD </w:t>
      </w:r>
      <w:r w:rsidR="00122BD2" w:rsidRPr="00557AF2">
        <w:rPr>
          <w:i/>
          <w:sz w:val="32"/>
          <w:szCs w:val="32"/>
        </w:rPr>
        <w:t>A MULTIPOLAR WORLD</w:t>
      </w:r>
    </w:p>
    <w:p w:rsidR="00122BD2" w:rsidRPr="00A34694" w:rsidRDefault="00122BD2" w:rsidP="00F661EF">
      <w:pPr>
        <w:spacing w:before="0" w:beforeAutospacing="0" w:after="0" w:afterAutospacing="0"/>
        <w:contextualSpacing/>
        <w:rPr>
          <w:i/>
        </w:rPr>
      </w:pPr>
    </w:p>
    <w:p w:rsidR="005266BC" w:rsidRPr="00557AF2" w:rsidRDefault="003665AB" w:rsidP="00F53998">
      <w:pPr>
        <w:spacing w:before="0" w:beforeAutospacing="0" w:after="0" w:afterAutospacing="0"/>
        <w:contextualSpacing/>
        <w:rPr>
          <w:sz w:val="28"/>
          <w:szCs w:val="28"/>
        </w:rPr>
      </w:pPr>
      <w:r>
        <w:rPr>
          <w:sz w:val="28"/>
          <w:szCs w:val="28"/>
        </w:rPr>
        <w:t xml:space="preserve">Feb 21, 23: </w:t>
      </w:r>
      <w:r w:rsidR="00182362">
        <w:rPr>
          <w:sz w:val="28"/>
          <w:szCs w:val="28"/>
        </w:rPr>
        <w:t xml:space="preserve"> </w:t>
      </w:r>
      <w:r w:rsidR="00122BD2" w:rsidRPr="00557AF2">
        <w:rPr>
          <w:b/>
          <w:sz w:val="28"/>
          <w:szCs w:val="28"/>
        </w:rPr>
        <w:t xml:space="preserve">Multipolar and </w:t>
      </w:r>
      <w:r w:rsidR="005271CD" w:rsidRPr="00557AF2">
        <w:rPr>
          <w:b/>
          <w:sz w:val="28"/>
          <w:szCs w:val="28"/>
        </w:rPr>
        <w:t>Unipolar World System</w:t>
      </w:r>
      <w:r w:rsidR="00122BD2" w:rsidRPr="00557AF2">
        <w:rPr>
          <w:b/>
          <w:sz w:val="28"/>
          <w:szCs w:val="28"/>
        </w:rPr>
        <w:t>s</w:t>
      </w:r>
    </w:p>
    <w:p w:rsidR="005266BC" w:rsidRPr="00A34694" w:rsidRDefault="00840DBC" w:rsidP="00F53998">
      <w:pPr>
        <w:spacing w:before="0" w:beforeAutospacing="0" w:after="0" w:afterAutospacing="0"/>
        <w:contextualSpacing/>
      </w:pPr>
      <w:r w:rsidRPr="00A34694">
        <w:t></w:t>
      </w:r>
      <w:r w:rsidR="005266BC" w:rsidRPr="00A34694">
        <w:t xml:space="preserve">Clegg, </w:t>
      </w:r>
      <w:r w:rsidR="005266BC" w:rsidRPr="00A34694">
        <w:rPr>
          <w:i/>
        </w:rPr>
        <w:t>China’s Global Strategy,</w:t>
      </w:r>
      <w:r w:rsidR="00545FFA" w:rsidRPr="00A34694">
        <w:t>1-56</w:t>
      </w:r>
    </w:p>
    <w:p w:rsidR="004B03DB" w:rsidRPr="00A34694" w:rsidRDefault="004B03DB" w:rsidP="00F53998">
      <w:pPr>
        <w:spacing w:before="0" w:beforeAutospacing="0" w:after="0" w:afterAutospacing="0"/>
        <w:contextualSpacing/>
      </w:pPr>
    </w:p>
    <w:p w:rsidR="00687FB9" w:rsidRPr="00557AF2" w:rsidRDefault="003665AB" w:rsidP="00687FB9">
      <w:pPr>
        <w:spacing w:before="0" w:beforeAutospacing="0" w:after="0" w:afterAutospacing="0"/>
        <w:contextualSpacing/>
        <w:rPr>
          <w:sz w:val="28"/>
          <w:szCs w:val="28"/>
        </w:rPr>
      </w:pPr>
      <w:r w:rsidRPr="003665AB">
        <w:rPr>
          <w:sz w:val="28"/>
          <w:szCs w:val="28"/>
        </w:rPr>
        <w:t xml:space="preserve">Feb </w:t>
      </w:r>
      <w:r>
        <w:rPr>
          <w:i/>
          <w:sz w:val="28"/>
          <w:szCs w:val="28"/>
        </w:rPr>
        <w:t xml:space="preserve">28, </w:t>
      </w:r>
      <w:r w:rsidRPr="003665AB">
        <w:rPr>
          <w:sz w:val="28"/>
          <w:szCs w:val="28"/>
        </w:rPr>
        <w:t>March</w:t>
      </w:r>
      <w:r>
        <w:rPr>
          <w:sz w:val="28"/>
          <w:szCs w:val="28"/>
        </w:rPr>
        <w:t xml:space="preserve"> </w:t>
      </w:r>
      <w:r w:rsidRPr="003665AB">
        <w:rPr>
          <w:sz w:val="28"/>
          <w:szCs w:val="28"/>
        </w:rPr>
        <w:t>2:</w:t>
      </w:r>
      <w:r w:rsidR="00687FB9" w:rsidRPr="003665AB">
        <w:rPr>
          <w:sz w:val="28"/>
          <w:szCs w:val="28"/>
        </w:rPr>
        <w:tab/>
      </w:r>
      <w:r w:rsidR="00687FB9" w:rsidRPr="00557AF2">
        <w:rPr>
          <w:b/>
          <w:sz w:val="28"/>
          <w:szCs w:val="28"/>
        </w:rPr>
        <w:t>Chinese and Western Perspectives on Globalization</w:t>
      </w:r>
    </w:p>
    <w:p w:rsidR="00687FB9" w:rsidRPr="00A34694" w:rsidRDefault="00687FB9" w:rsidP="00687FB9">
      <w:pPr>
        <w:spacing w:before="0" w:beforeAutospacing="0" w:after="0" w:afterAutospacing="0"/>
        <w:contextualSpacing/>
        <w:rPr>
          <w:i/>
        </w:rPr>
      </w:pPr>
      <w:r w:rsidRPr="00A34694">
        <w:t xml:space="preserve">Clegg, </w:t>
      </w:r>
      <w:r w:rsidRPr="00A34694">
        <w:rPr>
          <w:i/>
        </w:rPr>
        <w:t>China’s Global Strategy,</w:t>
      </w:r>
      <w:r w:rsidRPr="00A34694">
        <w:t>76-102</w:t>
      </w:r>
    </w:p>
    <w:p w:rsidR="005266BC" w:rsidRPr="00A34694" w:rsidRDefault="005266BC" w:rsidP="00F53998">
      <w:pPr>
        <w:spacing w:before="0" w:beforeAutospacing="0" w:after="0" w:afterAutospacing="0"/>
        <w:contextualSpacing/>
        <w:rPr>
          <w:i/>
        </w:rPr>
      </w:pPr>
    </w:p>
    <w:p w:rsidR="00687FB9" w:rsidRPr="00A34694" w:rsidRDefault="00687FB9" w:rsidP="00331A18">
      <w:pPr>
        <w:spacing w:before="0" w:beforeAutospacing="0" w:after="0" w:afterAutospacing="0"/>
        <w:contextualSpacing/>
        <w:rPr>
          <w:b/>
        </w:rPr>
      </w:pPr>
    </w:p>
    <w:p w:rsidR="00687FB9" w:rsidRPr="00557AF2" w:rsidRDefault="00687FB9" w:rsidP="00687FB9">
      <w:pPr>
        <w:spacing w:before="0" w:beforeAutospacing="0" w:after="0" w:afterAutospacing="0"/>
        <w:contextualSpacing/>
        <w:rPr>
          <w:i/>
          <w:sz w:val="32"/>
          <w:szCs w:val="32"/>
        </w:rPr>
      </w:pPr>
      <w:r w:rsidRPr="00557AF2">
        <w:rPr>
          <w:i/>
          <w:sz w:val="32"/>
          <w:szCs w:val="32"/>
        </w:rPr>
        <w:t>PART III: DANCING WITH THE DRAGO</w:t>
      </w:r>
      <w:r w:rsidR="00557AF2">
        <w:rPr>
          <w:i/>
          <w:sz w:val="32"/>
          <w:szCs w:val="32"/>
        </w:rPr>
        <w:t>N</w:t>
      </w:r>
    </w:p>
    <w:p w:rsidR="00687FB9" w:rsidRPr="00A34694" w:rsidRDefault="00687FB9" w:rsidP="00331A18">
      <w:pPr>
        <w:spacing w:before="0" w:beforeAutospacing="0" w:after="0" w:afterAutospacing="0"/>
        <w:contextualSpacing/>
      </w:pPr>
    </w:p>
    <w:p w:rsidR="00687FB9" w:rsidRPr="00557AF2" w:rsidRDefault="00990C55" w:rsidP="00687FB9">
      <w:pPr>
        <w:spacing w:before="0" w:beforeAutospacing="0" w:after="0" w:afterAutospacing="0"/>
        <w:contextualSpacing/>
        <w:rPr>
          <w:sz w:val="28"/>
          <w:szCs w:val="28"/>
        </w:rPr>
      </w:pPr>
      <w:r>
        <w:rPr>
          <w:sz w:val="28"/>
          <w:szCs w:val="28"/>
        </w:rPr>
        <w:t>March 14, 16:</w:t>
      </w:r>
      <w:r w:rsidR="00D31869" w:rsidRPr="00557AF2">
        <w:rPr>
          <w:sz w:val="28"/>
          <w:szCs w:val="28"/>
        </w:rPr>
        <w:t xml:space="preserve"> </w:t>
      </w:r>
      <w:r w:rsidR="00D31869" w:rsidRPr="00557AF2">
        <w:rPr>
          <w:sz w:val="28"/>
          <w:szCs w:val="28"/>
        </w:rPr>
        <w:tab/>
      </w:r>
      <w:r w:rsidR="00687FB9" w:rsidRPr="00557AF2">
        <w:rPr>
          <w:b/>
          <w:sz w:val="28"/>
          <w:szCs w:val="28"/>
        </w:rPr>
        <w:t>Afro-Chinese Relations: Overview and Perspectives</w:t>
      </w:r>
    </w:p>
    <w:p w:rsidR="00687FB9" w:rsidRDefault="00687FB9" w:rsidP="00687FB9">
      <w:pPr>
        <w:spacing w:before="0" w:beforeAutospacing="0" w:after="0" w:afterAutospacing="0"/>
        <w:contextualSpacing/>
      </w:pPr>
      <w:r w:rsidRPr="00A34694">
        <w:rPr>
          <w:b/>
        </w:rPr>
        <w:t></w:t>
      </w:r>
      <w:r w:rsidRPr="00A34694">
        <w:t xml:space="preserve">Paul </w:t>
      </w:r>
      <w:proofErr w:type="spellStart"/>
      <w:r w:rsidRPr="00A34694">
        <w:t>Zeleza</w:t>
      </w:r>
      <w:proofErr w:type="spellEnd"/>
      <w:r w:rsidRPr="00A34694">
        <w:t xml:space="preserve">, “The Africa-China Relationship: Challenges and Opportunities,” </w:t>
      </w:r>
      <w:r w:rsidRPr="00A34694">
        <w:rPr>
          <w:i/>
        </w:rPr>
        <w:t>Canadian Journal of African Studies</w:t>
      </w:r>
      <w:r w:rsidRPr="00A34694">
        <w:t xml:space="preserve"> 48, 1 (2014): 145-169.</w:t>
      </w:r>
    </w:p>
    <w:p w:rsidR="00866E80" w:rsidRPr="00A34694" w:rsidRDefault="00866E80" w:rsidP="00331A18">
      <w:pPr>
        <w:spacing w:before="0" w:beforeAutospacing="0" w:after="0" w:afterAutospacing="0"/>
        <w:contextualSpacing/>
      </w:pPr>
    </w:p>
    <w:p w:rsidR="00BB197C" w:rsidRPr="00557AF2" w:rsidRDefault="00990C55" w:rsidP="00BB197C">
      <w:pPr>
        <w:spacing w:before="0" w:beforeAutospacing="0" w:after="0" w:afterAutospacing="0"/>
        <w:contextualSpacing/>
        <w:rPr>
          <w:sz w:val="28"/>
          <w:szCs w:val="28"/>
        </w:rPr>
      </w:pPr>
      <w:r>
        <w:rPr>
          <w:sz w:val="28"/>
          <w:szCs w:val="28"/>
        </w:rPr>
        <w:t>March 21</w:t>
      </w:r>
      <w:r w:rsidR="003E25B4">
        <w:rPr>
          <w:sz w:val="28"/>
          <w:szCs w:val="28"/>
        </w:rPr>
        <w:t>:</w:t>
      </w:r>
      <w:r w:rsidR="0087411F" w:rsidRPr="00557AF2">
        <w:rPr>
          <w:sz w:val="28"/>
          <w:szCs w:val="28"/>
        </w:rPr>
        <w:tab/>
      </w:r>
      <w:r w:rsidR="00BB197C" w:rsidRPr="00557AF2">
        <w:rPr>
          <w:b/>
          <w:sz w:val="28"/>
          <w:szCs w:val="28"/>
        </w:rPr>
        <w:t>Trade Relations</w:t>
      </w:r>
    </w:p>
    <w:p w:rsidR="00BB197C" w:rsidRPr="00A34694" w:rsidRDefault="00BB197C" w:rsidP="00BB197C">
      <w:pPr>
        <w:spacing w:before="0" w:beforeAutospacing="0" w:after="0" w:afterAutospacing="0"/>
        <w:contextualSpacing/>
      </w:pPr>
      <w:r w:rsidRPr="00A34694">
        <w:t xml:space="preserve">Shinn and Eisenman, </w:t>
      </w:r>
      <w:r w:rsidRPr="00A34694">
        <w:rPr>
          <w:i/>
        </w:rPr>
        <w:t>China and Africa</w:t>
      </w:r>
      <w:r w:rsidRPr="00A34694">
        <w:t>, 99-127.</w:t>
      </w:r>
    </w:p>
    <w:p w:rsidR="00D31869" w:rsidRDefault="00D31869" w:rsidP="00BB197C">
      <w:pPr>
        <w:spacing w:before="0" w:beforeAutospacing="0" w:after="0" w:afterAutospacing="0"/>
        <w:contextualSpacing/>
        <w:rPr>
          <w:b/>
        </w:rPr>
      </w:pPr>
    </w:p>
    <w:p w:rsidR="00A4296A" w:rsidRPr="00A34694" w:rsidRDefault="00A4296A" w:rsidP="00BB197C">
      <w:pPr>
        <w:spacing w:before="0" w:beforeAutospacing="0" w:after="0" w:afterAutospacing="0"/>
        <w:contextualSpacing/>
        <w:rPr>
          <w:b/>
        </w:rPr>
      </w:pPr>
    </w:p>
    <w:p w:rsidR="00D31869" w:rsidRPr="00557AF2" w:rsidRDefault="00990C55" w:rsidP="00D31869">
      <w:pPr>
        <w:spacing w:before="0" w:beforeAutospacing="0" w:after="0" w:afterAutospacing="0"/>
        <w:contextualSpacing/>
        <w:rPr>
          <w:sz w:val="28"/>
          <w:szCs w:val="28"/>
        </w:rPr>
      </w:pPr>
      <w:r>
        <w:rPr>
          <w:sz w:val="28"/>
          <w:szCs w:val="28"/>
        </w:rPr>
        <w:t>March 23</w:t>
      </w:r>
      <w:r w:rsidR="003E25B4">
        <w:rPr>
          <w:sz w:val="28"/>
          <w:szCs w:val="28"/>
        </w:rPr>
        <w:t>:</w:t>
      </w:r>
      <w:r w:rsidR="00D31869" w:rsidRPr="00557AF2">
        <w:rPr>
          <w:sz w:val="28"/>
          <w:szCs w:val="28"/>
        </w:rPr>
        <w:t xml:space="preserve"> </w:t>
      </w:r>
      <w:r w:rsidR="00D31869" w:rsidRPr="00557AF2">
        <w:rPr>
          <w:b/>
          <w:sz w:val="28"/>
          <w:szCs w:val="28"/>
        </w:rPr>
        <w:t>Aid</w:t>
      </w:r>
    </w:p>
    <w:p w:rsidR="00A4296A" w:rsidRDefault="00D31869" w:rsidP="00A4296A">
      <w:pPr>
        <w:spacing w:before="0" w:beforeAutospacing="0" w:after="0" w:afterAutospacing="0"/>
        <w:contextualSpacing/>
      </w:pPr>
      <w:r w:rsidRPr="00A34694">
        <w:t xml:space="preserve">Deborah </w:t>
      </w:r>
      <w:proofErr w:type="spellStart"/>
      <w:r w:rsidRPr="00A34694">
        <w:t>Brautigam</w:t>
      </w:r>
      <w:proofErr w:type="spellEnd"/>
      <w:r w:rsidRPr="00A34694">
        <w:t xml:space="preserve">, </w:t>
      </w:r>
      <w:r w:rsidRPr="00A34694">
        <w:rPr>
          <w:i/>
        </w:rPr>
        <w:t>The Dragon’s Gift: The Real Story of China in Africa</w:t>
      </w:r>
      <w:r w:rsidRPr="00A34694">
        <w:t xml:space="preserve"> (OUP, 2011), 131-188.</w:t>
      </w:r>
      <w:r w:rsidR="00511E02" w:rsidRPr="00A34694">
        <w:t xml:space="preserve"> </w:t>
      </w:r>
    </w:p>
    <w:p w:rsidR="001F484C" w:rsidRPr="00A34694" w:rsidRDefault="001F484C" w:rsidP="00511E02">
      <w:pPr>
        <w:spacing w:before="0" w:beforeAutospacing="0" w:after="0" w:afterAutospacing="0"/>
        <w:contextualSpacing/>
      </w:pPr>
    </w:p>
    <w:p w:rsidR="00D34068" w:rsidRPr="00942AD0" w:rsidRDefault="00990C55" w:rsidP="00D2521B">
      <w:pPr>
        <w:spacing w:before="0" w:beforeAutospacing="0" w:after="0" w:afterAutospacing="0"/>
        <w:contextualSpacing/>
        <w:rPr>
          <w:b/>
          <w:sz w:val="28"/>
          <w:szCs w:val="28"/>
        </w:rPr>
      </w:pPr>
      <w:r>
        <w:rPr>
          <w:sz w:val="28"/>
          <w:szCs w:val="28"/>
        </w:rPr>
        <w:t>March 28, March 30:</w:t>
      </w:r>
      <w:r w:rsidR="00BB197C" w:rsidRPr="00942AD0">
        <w:rPr>
          <w:i/>
          <w:sz w:val="28"/>
          <w:szCs w:val="28"/>
        </w:rPr>
        <w:tab/>
      </w:r>
      <w:r w:rsidR="00BB197C" w:rsidRPr="00942AD0">
        <w:rPr>
          <w:b/>
          <w:sz w:val="28"/>
          <w:szCs w:val="28"/>
        </w:rPr>
        <w:t>Industrialization</w:t>
      </w:r>
    </w:p>
    <w:p w:rsidR="00D34068" w:rsidRPr="00A34694" w:rsidRDefault="00D34068" w:rsidP="00D34068">
      <w:pPr>
        <w:tabs>
          <w:tab w:val="left" w:pos="-720"/>
        </w:tabs>
        <w:suppressAutoHyphens/>
        <w:spacing w:before="0" w:beforeAutospacing="0" w:after="0" w:afterAutospacing="0"/>
      </w:pPr>
      <w:r w:rsidRPr="00A34694">
        <w:t></w:t>
      </w:r>
      <w:proofErr w:type="spellStart"/>
      <w:r w:rsidRPr="00A34694">
        <w:t>Brautigam</w:t>
      </w:r>
      <w:proofErr w:type="spellEnd"/>
      <w:r w:rsidRPr="00A34694">
        <w:t xml:space="preserve">, </w:t>
      </w:r>
      <w:r w:rsidRPr="00A34694">
        <w:rPr>
          <w:i/>
        </w:rPr>
        <w:t>Dragon’s Gift</w:t>
      </w:r>
      <w:r w:rsidRPr="00A34694">
        <w:t>, 189-231.</w:t>
      </w:r>
    </w:p>
    <w:p w:rsidR="00A13A17" w:rsidRPr="00A34694" w:rsidRDefault="00A13A17" w:rsidP="00283DD0">
      <w:pPr>
        <w:spacing w:before="0" w:beforeAutospacing="0" w:after="0" w:afterAutospacing="0"/>
        <w:contextualSpacing/>
      </w:pPr>
    </w:p>
    <w:p w:rsidR="00511E02" w:rsidRPr="00A34694" w:rsidRDefault="00511E02" w:rsidP="00283DD0">
      <w:pPr>
        <w:spacing w:before="0" w:beforeAutospacing="0" w:after="0" w:afterAutospacing="0"/>
        <w:contextualSpacing/>
      </w:pPr>
    </w:p>
    <w:p w:rsidR="00B13CCD" w:rsidRPr="00942AD0" w:rsidRDefault="00990C55" w:rsidP="00BB197C">
      <w:pPr>
        <w:spacing w:before="0" w:beforeAutospacing="0" w:after="0" w:afterAutospacing="0"/>
        <w:contextualSpacing/>
        <w:rPr>
          <w:b/>
          <w:sz w:val="28"/>
          <w:szCs w:val="28"/>
        </w:rPr>
      </w:pPr>
      <w:r>
        <w:rPr>
          <w:sz w:val="28"/>
          <w:szCs w:val="28"/>
        </w:rPr>
        <w:t>April 4, 6</w:t>
      </w:r>
      <w:r w:rsidR="00C73ACE" w:rsidRPr="00942AD0">
        <w:rPr>
          <w:sz w:val="28"/>
          <w:szCs w:val="28"/>
        </w:rPr>
        <w:tab/>
      </w:r>
      <w:r w:rsidR="00BB197C" w:rsidRPr="00942AD0">
        <w:rPr>
          <w:b/>
          <w:sz w:val="28"/>
          <w:szCs w:val="28"/>
        </w:rPr>
        <w:t>Agriculture</w:t>
      </w:r>
    </w:p>
    <w:p w:rsidR="00BB197C" w:rsidRDefault="00BB197C" w:rsidP="00BB197C">
      <w:pPr>
        <w:spacing w:before="0" w:beforeAutospacing="0" w:after="0" w:afterAutospacing="0"/>
        <w:contextualSpacing/>
      </w:pPr>
      <w:r w:rsidRPr="00A34694">
        <w:t></w:t>
      </w:r>
      <w:proofErr w:type="spellStart"/>
      <w:r w:rsidRPr="00A34694">
        <w:t>Brautigam</w:t>
      </w:r>
      <w:proofErr w:type="spellEnd"/>
      <w:r w:rsidRPr="00A34694">
        <w:t xml:space="preserve">, </w:t>
      </w:r>
      <w:r w:rsidRPr="00A34694">
        <w:rPr>
          <w:i/>
        </w:rPr>
        <w:t>Dragon’s Gift</w:t>
      </w:r>
      <w:r w:rsidRPr="00A34694">
        <w:t>, 232-272.</w:t>
      </w:r>
    </w:p>
    <w:p w:rsidR="008F75A7" w:rsidRDefault="008F75A7" w:rsidP="00BB197C">
      <w:pPr>
        <w:spacing w:before="0" w:beforeAutospacing="0" w:after="0" w:afterAutospacing="0"/>
        <w:contextualSpacing/>
      </w:pPr>
    </w:p>
    <w:p w:rsidR="008F75A7" w:rsidRPr="00471708" w:rsidRDefault="00990C55" w:rsidP="008F75A7">
      <w:pPr>
        <w:spacing w:before="0" w:beforeAutospacing="0" w:after="0" w:afterAutospacing="0"/>
        <w:contextualSpacing/>
        <w:rPr>
          <w:b/>
          <w:sz w:val="28"/>
          <w:szCs w:val="28"/>
        </w:rPr>
      </w:pPr>
      <w:r>
        <w:rPr>
          <w:sz w:val="28"/>
          <w:szCs w:val="28"/>
        </w:rPr>
        <w:t xml:space="preserve">April 11, 13: </w:t>
      </w:r>
      <w:r w:rsidR="008F75A7" w:rsidRPr="00471708">
        <w:rPr>
          <w:b/>
          <w:sz w:val="28"/>
          <w:szCs w:val="28"/>
        </w:rPr>
        <w:t>Cultural and Education</w:t>
      </w:r>
      <w:r w:rsidR="00F23605">
        <w:rPr>
          <w:b/>
          <w:sz w:val="28"/>
          <w:szCs w:val="28"/>
        </w:rPr>
        <w:t>al</w:t>
      </w:r>
      <w:r w:rsidR="008F75A7" w:rsidRPr="00471708">
        <w:rPr>
          <w:b/>
          <w:sz w:val="28"/>
          <w:szCs w:val="28"/>
        </w:rPr>
        <w:t xml:space="preserve"> Exchanges</w:t>
      </w:r>
    </w:p>
    <w:p w:rsidR="00AD0264" w:rsidRDefault="008F75A7" w:rsidP="00BB197C">
      <w:pPr>
        <w:spacing w:before="0" w:beforeAutospacing="0" w:after="0" w:afterAutospacing="0"/>
        <w:contextualSpacing/>
        <w:rPr>
          <w:b/>
        </w:rPr>
      </w:pPr>
      <w:r>
        <w:t xml:space="preserve">H. </w:t>
      </w:r>
      <w:proofErr w:type="spellStart"/>
      <w:r>
        <w:t>Ferdjani</w:t>
      </w:r>
      <w:proofErr w:type="spellEnd"/>
      <w:r>
        <w:t xml:space="preserve">, </w:t>
      </w:r>
      <w:r w:rsidRPr="00C87993">
        <w:t>“African Students in China: An Exp</w:t>
      </w:r>
      <w:r w:rsidR="00F23605">
        <w:t xml:space="preserve">loration of Increasing Numbers </w:t>
      </w:r>
      <w:r w:rsidRPr="00C87993">
        <w:t>and their Motivations in Beijing</w:t>
      </w:r>
      <w:proofErr w:type="gramStart"/>
      <w:r w:rsidRPr="00C87993">
        <w:t>,”  Center</w:t>
      </w:r>
      <w:proofErr w:type="gramEnd"/>
      <w:r w:rsidRPr="00C87993">
        <w:t xml:space="preserve"> for Chinese Studies, Stellenbosch University, September 2012 (35 pages).</w:t>
      </w:r>
      <w:r w:rsidR="007F2A22" w:rsidRPr="00A34694">
        <w:rPr>
          <w:b/>
        </w:rPr>
        <w:t xml:space="preserve"> </w:t>
      </w:r>
    </w:p>
    <w:p w:rsidR="00990C55" w:rsidRDefault="00990C55" w:rsidP="000D17AA">
      <w:pPr>
        <w:spacing w:before="0" w:beforeAutospacing="0" w:after="0" w:afterAutospacing="0"/>
        <w:contextualSpacing/>
        <w:rPr>
          <w:sz w:val="28"/>
          <w:szCs w:val="28"/>
        </w:rPr>
      </w:pPr>
    </w:p>
    <w:p w:rsidR="00AC34B3" w:rsidRPr="00942AD0" w:rsidRDefault="00990C55" w:rsidP="000D17AA">
      <w:pPr>
        <w:spacing w:before="0" w:beforeAutospacing="0" w:after="0" w:afterAutospacing="0"/>
        <w:contextualSpacing/>
        <w:rPr>
          <w:sz w:val="28"/>
          <w:szCs w:val="28"/>
        </w:rPr>
      </w:pPr>
      <w:r>
        <w:rPr>
          <w:sz w:val="28"/>
          <w:szCs w:val="28"/>
        </w:rPr>
        <w:t xml:space="preserve">April 18, 20: </w:t>
      </w:r>
      <w:r w:rsidR="007F2A22">
        <w:rPr>
          <w:b/>
          <w:sz w:val="28"/>
          <w:szCs w:val="28"/>
        </w:rPr>
        <w:t>Afro-Chinese Relations</w:t>
      </w:r>
      <w:r w:rsidR="00D2521B" w:rsidRPr="00942AD0">
        <w:rPr>
          <w:b/>
          <w:sz w:val="28"/>
          <w:szCs w:val="28"/>
        </w:rPr>
        <w:t>: Myths and Realities</w:t>
      </w:r>
    </w:p>
    <w:p w:rsidR="0084079D" w:rsidRDefault="00D2521B" w:rsidP="0084079D">
      <w:pPr>
        <w:spacing w:before="0" w:beforeAutospacing="0" w:after="0" w:afterAutospacing="0"/>
        <w:contextualSpacing/>
      </w:pPr>
      <w:r w:rsidRPr="00A34694">
        <w:t></w:t>
      </w:r>
      <w:proofErr w:type="spellStart"/>
      <w:r w:rsidRPr="00A34694">
        <w:t>Brautigam</w:t>
      </w:r>
      <w:proofErr w:type="spellEnd"/>
      <w:r w:rsidRPr="00A34694">
        <w:t xml:space="preserve">, </w:t>
      </w:r>
      <w:r w:rsidRPr="00A34694">
        <w:rPr>
          <w:i/>
        </w:rPr>
        <w:t>Dragon’s Gift</w:t>
      </w:r>
      <w:r w:rsidRPr="00A34694">
        <w:t>, 273-312.</w:t>
      </w:r>
    </w:p>
    <w:p w:rsidR="0094004A" w:rsidRDefault="0094004A" w:rsidP="0084079D">
      <w:pPr>
        <w:spacing w:before="0" w:beforeAutospacing="0" w:after="0" w:afterAutospacing="0"/>
        <w:contextualSpacing/>
      </w:pPr>
    </w:p>
    <w:p w:rsidR="00AC34B3" w:rsidRPr="00A34694" w:rsidRDefault="00AC34B3" w:rsidP="000D17AA">
      <w:pPr>
        <w:spacing w:before="0" w:beforeAutospacing="0" w:after="0" w:afterAutospacing="0"/>
        <w:contextualSpacing/>
      </w:pPr>
    </w:p>
    <w:p w:rsidR="00600A99" w:rsidRPr="00A34694" w:rsidRDefault="00600A99" w:rsidP="000D17AA">
      <w:pPr>
        <w:spacing w:before="0" w:beforeAutospacing="0" w:after="0" w:afterAutospacing="0"/>
        <w:contextualSpacing/>
      </w:pPr>
    </w:p>
    <w:p w:rsidR="00C80D56" w:rsidRDefault="00C80D56" w:rsidP="00C80D56">
      <w:pPr>
        <w:tabs>
          <w:tab w:val="left" w:pos="-720"/>
        </w:tabs>
        <w:suppressAutoHyphens/>
        <w:rPr>
          <w:sz w:val="40"/>
          <w:szCs w:val="40"/>
        </w:rPr>
      </w:pPr>
      <w:r>
        <w:rPr>
          <w:sz w:val="40"/>
          <w:szCs w:val="40"/>
        </w:rPr>
        <w:lastRenderedPageBreak/>
        <w:t>College Policies</w:t>
      </w:r>
    </w:p>
    <w:p w:rsidR="00C80D56" w:rsidRDefault="00C80D56" w:rsidP="00C80D56">
      <w:pPr>
        <w:numPr>
          <w:ilvl w:val="0"/>
          <w:numId w:val="5"/>
        </w:numPr>
        <w:tabs>
          <w:tab w:val="left" w:pos="-720"/>
        </w:tabs>
        <w:suppressAutoHyphens/>
        <w:overflowPunct w:val="0"/>
        <w:autoSpaceDE w:val="0"/>
        <w:autoSpaceDN w:val="0"/>
        <w:adjustRightInd w:val="0"/>
        <w:spacing w:before="0" w:beforeAutospacing="0" w:after="0" w:afterAutospacing="0"/>
        <w:textAlignment w:val="baseline"/>
        <w:rPr>
          <w:rFonts w:ascii="Garamond" w:hAnsi="Garamond"/>
        </w:rPr>
      </w:pPr>
      <w:r>
        <w:rPr>
          <w:rFonts w:ascii="Garamond" w:hAnsi="Garamond"/>
          <w:b/>
        </w:rPr>
        <w:t>The College’s Credit Hour P</w:t>
      </w:r>
      <w:r w:rsidRPr="001F59B4">
        <w:rPr>
          <w:rFonts w:ascii="Garamond" w:hAnsi="Garamond"/>
          <w:b/>
        </w:rPr>
        <w:t>olicy</w:t>
      </w:r>
      <w:r w:rsidRPr="00784035">
        <w:rPr>
          <w:rFonts w:ascii="Garamond" w:hAnsi="Garamond"/>
        </w:rPr>
        <w:t xml:space="preserve"> on undergraduate courses is to award 4 credit hours for courses that meet for the equivalent of 3 periods of 50 minutes each week.  Students enrolled in HIS 383W are expected to devote at least one hour each week to identifying the main lines of argument in course readings, working alone or in groups, and to researching in depth their topi</w:t>
      </w:r>
      <w:r>
        <w:rPr>
          <w:rFonts w:ascii="Garamond" w:hAnsi="Garamond"/>
        </w:rPr>
        <w:t>cs for the final seminar paper.</w:t>
      </w:r>
    </w:p>
    <w:p w:rsidR="00C80D56" w:rsidRPr="00784035" w:rsidRDefault="00C80D56" w:rsidP="00C80D56">
      <w:pPr>
        <w:pStyle w:val="ListParagraph"/>
        <w:numPr>
          <w:ilvl w:val="0"/>
          <w:numId w:val="5"/>
        </w:numPr>
        <w:spacing w:before="0" w:beforeAutospacing="0" w:after="0" w:afterAutospacing="0"/>
        <w:jc w:val="left"/>
        <w:rPr>
          <w:rFonts w:ascii="Garamond" w:hAnsi="Garamond"/>
        </w:rPr>
      </w:pPr>
      <w:r>
        <w:rPr>
          <w:rFonts w:ascii="Garamond" w:hAnsi="Garamond"/>
          <w:b/>
          <w:bCs/>
        </w:rPr>
        <w:t>Students with D</w:t>
      </w:r>
      <w:r w:rsidRPr="00D90EA1">
        <w:rPr>
          <w:rFonts w:ascii="Garamond" w:hAnsi="Garamond"/>
          <w:b/>
          <w:bCs/>
        </w:rPr>
        <w:t xml:space="preserve">isabilities:  </w:t>
      </w:r>
      <w:r w:rsidRPr="00D3126D">
        <w:rPr>
          <w:rFonts w:ascii="Garamond" w:eastAsia="Garamond" w:hAnsi="Garamond" w:cs="Garamond"/>
        </w:rPr>
        <w:t xml:space="preserve">The University of Rochester respects and welcomes students of all backgrounds and abilities. In the event you encounter any barrier(s) to full participation in this course due to the impact of disability, please contact the Office of Disability Resources. The access coordinators in the Office of Disability Resources can meet with you to discuss the barriers you are experiencing and explain the eligibility process for establishing academic accommodations. You can reach the Office of Disability Resources at: </w:t>
      </w:r>
      <w:hyperlink r:id="rId8" w:history="1">
        <w:r w:rsidRPr="00D3126D">
          <w:rPr>
            <w:rStyle w:val="Hyperlink"/>
            <w:rFonts w:ascii="Garamond" w:eastAsia="Garamond" w:hAnsi="Garamond" w:cs="Garamond"/>
          </w:rPr>
          <w:t>disability@rochester.edu</w:t>
        </w:r>
      </w:hyperlink>
      <w:r w:rsidRPr="00D3126D">
        <w:rPr>
          <w:rFonts w:ascii="Garamond" w:eastAsia="Garamond" w:hAnsi="Garamond" w:cs="Garamond"/>
        </w:rPr>
        <w:t>; (585) 276-5075; Taylor Hall.  If you have any questions or concerns, please feel free to contact me as well</w:t>
      </w:r>
      <w:r>
        <w:rPr>
          <w:rFonts w:ascii="Garamond" w:eastAsia="Garamond" w:hAnsi="Garamond" w:cs="Garamond"/>
        </w:rPr>
        <w:t>.</w:t>
      </w:r>
    </w:p>
    <w:p w:rsidR="00C80D56" w:rsidRDefault="00C80D56" w:rsidP="00C80D56">
      <w:pPr>
        <w:pStyle w:val="ListParagraph"/>
        <w:numPr>
          <w:ilvl w:val="0"/>
          <w:numId w:val="5"/>
        </w:numPr>
        <w:spacing w:before="0" w:beforeAutospacing="0" w:after="0" w:afterAutospacing="0"/>
        <w:jc w:val="left"/>
        <w:rPr>
          <w:rFonts w:ascii="Garamond" w:hAnsi="Garamond"/>
        </w:rPr>
      </w:pPr>
      <w:r w:rsidRPr="001F59B4">
        <w:rPr>
          <w:rFonts w:ascii="Garamond" w:hAnsi="Garamond"/>
          <w:b/>
        </w:rPr>
        <w:t>Academic Honesty Statement</w:t>
      </w:r>
      <w:r>
        <w:rPr>
          <w:rFonts w:ascii="Garamond" w:hAnsi="Garamond"/>
        </w:rPr>
        <w:t xml:space="preserve">: </w:t>
      </w:r>
      <w:r w:rsidRPr="00784035">
        <w:rPr>
          <w:rFonts w:ascii="Garamond" w:hAnsi="Garamond"/>
        </w:rPr>
        <w:t xml:space="preserve">All assignments and activities associated with this course must be performed in accordance with the University of Rochester's Academic Honesty Policy.  Cheating and plagiarism are serious offenses and will be treated as such. Anyone who engages in such activities will be turned over to the College Board on Academic Honesty for disciplinary action, as outlined at http://www.rochester.edu/College/honesty/.  For a helpful discussion of plagiarism (including subtle instances), see the American Historical Association’s ‘Defining Plagiarism,’ </w:t>
      </w:r>
      <w:hyperlink r:id="rId9" w:history="1">
        <w:r w:rsidRPr="003C3CA1">
          <w:rPr>
            <w:rStyle w:val="Hyperlink"/>
            <w:rFonts w:ascii="Garamond" w:hAnsi="Garamond"/>
          </w:rPr>
          <w:t>https://www.historians.org/teaching-and-learning/teaching-resources-for-historians/plagiarism-curricular-materials-for-history-instructors/defining-plagiarism</w:t>
        </w:r>
      </w:hyperlink>
      <w:r w:rsidRPr="00784035">
        <w:rPr>
          <w:rFonts w:ascii="Garamond" w:hAnsi="Garamond"/>
        </w:rPr>
        <w:t>.”</w:t>
      </w:r>
    </w:p>
    <w:p w:rsidR="00A4296A" w:rsidRDefault="00A4296A" w:rsidP="00A4296A">
      <w:pPr>
        <w:spacing w:before="0" w:beforeAutospacing="0" w:after="0" w:afterAutospacing="0"/>
        <w:ind w:left="720"/>
        <w:contextualSpacing/>
        <w:jc w:val="left"/>
        <w:rPr>
          <w:rFonts w:ascii="Garamond" w:hAnsi="Garamond"/>
        </w:rPr>
      </w:pPr>
    </w:p>
    <w:p w:rsidR="00A4296A" w:rsidRDefault="00A4296A" w:rsidP="00A4296A">
      <w:pPr>
        <w:spacing w:before="0" w:beforeAutospacing="0" w:after="0" w:afterAutospacing="0"/>
        <w:ind w:left="720"/>
        <w:contextualSpacing/>
        <w:jc w:val="left"/>
        <w:rPr>
          <w:rFonts w:ascii="Garamond" w:hAnsi="Garamond"/>
        </w:rPr>
      </w:pPr>
    </w:p>
    <w:p w:rsidR="00C80D56" w:rsidRDefault="00C80D56" w:rsidP="00A4296A">
      <w:pPr>
        <w:spacing w:before="0" w:beforeAutospacing="0" w:after="0" w:afterAutospacing="0"/>
        <w:ind w:firstLine="90"/>
        <w:contextualSpacing/>
        <w:jc w:val="left"/>
        <w:rPr>
          <w:rFonts w:ascii="Garamond" w:hAnsi="Garamond"/>
          <w:bCs/>
        </w:rPr>
      </w:pPr>
      <w:r w:rsidRPr="00A4296A">
        <w:rPr>
          <w:rFonts w:ascii="Garamond" w:hAnsi="Garamond"/>
          <w:bCs/>
          <w:sz w:val="40"/>
          <w:szCs w:val="40"/>
        </w:rPr>
        <w:t>Grading scale</w:t>
      </w:r>
      <w:r w:rsidRPr="00D90EA1">
        <w:rPr>
          <w:rFonts w:ascii="Garamond" w:hAnsi="Garamond"/>
          <w:bCs/>
        </w:rPr>
        <w:t xml:space="preserve">:  </w:t>
      </w:r>
    </w:p>
    <w:p w:rsidR="00A4296A" w:rsidRPr="00D90EA1" w:rsidRDefault="00A4296A" w:rsidP="00A4296A">
      <w:pPr>
        <w:spacing w:before="0" w:beforeAutospacing="0" w:after="0" w:afterAutospacing="0"/>
        <w:ind w:left="720"/>
        <w:contextualSpacing/>
        <w:jc w:val="left"/>
        <w:rPr>
          <w:rFonts w:ascii="Garamond" w:hAnsi="Garamond"/>
          <w:b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1440"/>
      </w:tblGrid>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A</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100-93%</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A-</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92.9-90%</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B+</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89.9-87%</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B</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86.9-83%</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B-</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82.9-80%</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C+</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79.9-77%</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C</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76.9-73%</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C-</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72.9-70%</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D+</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69.9-67%</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D</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66.9-63%</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D-</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62.9-60%</w:t>
            </w:r>
          </w:p>
        </w:tc>
      </w:tr>
      <w:tr w:rsidR="00C80D56" w:rsidRPr="007B12C7" w:rsidTr="00B40F78">
        <w:tc>
          <w:tcPr>
            <w:tcW w:w="72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F</w:t>
            </w:r>
          </w:p>
        </w:tc>
        <w:tc>
          <w:tcPr>
            <w:tcW w:w="1440" w:type="dxa"/>
            <w:shd w:val="clear" w:color="auto" w:fill="auto"/>
          </w:tcPr>
          <w:p w:rsidR="00C80D56" w:rsidRPr="007B12C7" w:rsidRDefault="00C80D56" w:rsidP="00B40F78">
            <w:pPr>
              <w:contextualSpacing/>
              <w:rPr>
                <w:rFonts w:ascii="Garamond" w:hAnsi="Garamond"/>
                <w:bCs/>
              </w:rPr>
            </w:pPr>
            <w:r w:rsidRPr="007B12C7">
              <w:rPr>
                <w:rFonts w:ascii="Garamond" w:hAnsi="Garamond"/>
                <w:bCs/>
              </w:rPr>
              <w:t>Below 60%</w:t>
            </w:r>
          </w:p>
        </w:tc>
      </w:tr>
    </w:tbl>
    <w:p w:rsidR="00C80D56" w:rsidRDefault="00C80D56" w:rsidP="00C80D56">
      <w:pPr>
        <w:contextualSpacing/>
        <w:rPr>
          <w:rFonts w:ascii="Garamond" w:hAnsi="Garamond"/>
          <w:b/>
          <w:bCs/>
        </w:rPr>
      </w:pPr>
    </w:p>
    <w:p w:rsidR="00C80D56" w:rsidRDefault="00C80D56" w:rsidP="00C80D56">
      <w:pPr>
        <w:numPr>
          <w:ilvl w:val="0"/>
          <w:numId w:val="6"/>
        </w:numPr>
        <w:spacing w:before="0" w:beforeAutospacing="0" w:after="0" w:afterAutospacing="0"/>
        <w:contextualSpacing/>
        <w:jc w:val="left"/>
        <w:rPr>
          <w:rFonts w:ascii="Garamond" w:hAnsi="Garamond"/>
          <w:bCs/>
        </w:rPr>
      </w:pPr>
      <w:r w:rsidRPr="00D90EA1">
        <w:rPr>
          <w:rFonts w:ascii="Garamond" w:hAnsi="Garamond"/>
          <w:b/>
          <w:bCs/>
        </w:rPr>
        <w:t>Copyright notice:</w:t>
      </w:r>
      <w:r>
        <w:rPr>
          <w:rFonts w:ascii="Garamond" w:hAnsi="Garamond"/>
          <w:bCs/>
        </w:rPr>
        <w:t xml:space="preserve"> Copyright © by Elias Mandala</w:t>
      </w:r>
      <w:r w:rsidRPr="00D90EA1">
        <w:rPr>
          <w:rFonts w:ascii="Garamond" w:hAnsi="Garamond"/>
          <w:bCs/>
        </w:rPr>
        <w:t xml:space="preserve"> as to this syllabus and </w:t>
      </w:r>
      <w:r>
        <w:rPr>
          <w:rFonts w:ascii="Garamond" w:hAnsi="Garamond"/>
          <w:bCs/>
        </w:rPr>
        <w:t>any class</w:t>
      </w:r>
      <w:r w:rsidRPr="00D90EA1">
        <w:rPr>
          <w:rFonts w:ascii="Garamond" w:hAnsi="Garamond"/>
          <w:bCs/>
        </w:rPr>
        <w:t xml:space="preserve"> lectures. </w:t>
      </w:r>
    </w:p>
    <w:p w:rsidR="00E33165" w:rsidRPr="00DD6D11" w:rsidRDefault="00C80D56" w:rsidP="00C80D56">
      <w:pPr>
        <w:numPr>
          <w:ilvl w:val="0"/>
          <w:numId w:val="6"/>
        </w:numPr>
        <w:spacing w:before="0" w:beforeAutospacing="0" w:after="0" w:afterAutospacing="0"/>
        <w:contextualSpacing/>
        <w:jc w:val="left"/>
      </w:pPr>
      <w:r w:rsidRPr="00FA7F0B">
        <w:rPr>
          <w:rFonts w:ascii="Garamond" w:hAnsi="Garamond"/>
          <w:b/>
          <w:bCs/>
        </w:rPr>
        <w:lastRenderedPageBreak/>
        <w:t>Disclaimer:</w:t>
      </w:r>
      <w:r w:rsidRPr="00FA7F0B">
        <w:rPr>
          <w:rFonts w:ascii="Garamond" w:hAnsi="Garamond"/>
          <w:bCs/>
        </w:rPr>
        <w:t xml:space="preserve"> The instructor reserves the right to change topics and assignments on the syllabus at any point in the semester.  Any changes will be announced in class and posted on Blackboard.</w:t>
      </w:r>
      <w:r w:rsidR="00F23605" w:rsidRPr="00DD6D11">
        <w:rPr>
          <w:highlight w:val="yellow"/>
        </w:rPr>
        <w:t xml:space="preserve"> </w:t>
      </w:r>
    </w:p>
    <w:sectPr w:rsidR="00E33165" w:rsidRPr="00DD6D11" w:rsidSect="0001416E">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6D41" w:rsidRDefault="00886D41" w:rsidP="00230013">
      <w:pPr>
        <w:spacing w:after="0"/>
      </w:pPr>
      <w:r>
        <w:separator/>
      </w:r>
    </w:p>
  </w:endnote>
  <w:endnote w:type="continuationSeparator" w:id="0">
    <w:p w:rsidR="00886D41" w:rsidRDefault="00886D41" w:rsidP="002300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6D41" w:rsidRDefault="00886D41" w:rsidP="00230013">
      <w:pPr>
        <w:spacing w:after="0"/>
      </w:pPr>
      <w:r>
        <w:separator/>
      </w:r>
    </w:p>
  </w:footnote>
  <w:footnote w:type="continuationSeparator" w:id="0">
    <w:p w:rsidR="00886D41" w:rsidRDefault="00886D41" w:rsidP="002300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8090352"/>
      <w:docPartObj>
        <w:docPartGallery w:val="Page Numbers (Top of Page)"/>
        <w:docPartUnique/>
      </w:docPartObj>
    </w:sdtPr>
    <w:sdtEndPr>
      <w:rPr>
        <w:noProof/>
      </w:rPr>
    </w:sdtEndPr>
    <w:sdtContent>
      <w:p w:rsidR="000A0F9B" w:rsidRDefault="000A0F9B">
        <w:pPr>
          <w:pStyle w:val="Header"/>
          <w:jc w:val="right"/>
        </w:pPr>
        <w:r>
          <w:fldChar w:fldCharType="begin"/>
        </w:r>
        <w:r>
          <w:instrText xml:space="preserve"> PAGE   \* MERGEFORMAT </w:instrText>
        </w:r>
        <w:r>
          <w:fldChar w:fldCharType="separate"/>
        </w:r>
        <w:r w:rsidR="00453474">
          <w:rPr>
            <w:noProof/>
          </w:rPr>
          <w:t>5</w:t>
        </w:r>
        <w:r>
          <w:rPr>
            <w:noProof/>
          </w:rPr>
          <w:fldChar w:fldCharType="end"/>
        </w:r>
      </w:p>
    </w:sdtContent>
  </w:sdt>
  <w:p w:rsidR="000A0F9B" w:rsidRDefault="000A0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F7A14"/>
    <w:multiLevelType w:val="hybridMultilevel"/>
    <w:tmpl w:val="F8F44E88"/>
    <w:lvl w:ilvl="0" w:tplc="34527F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D31279"/>
    <w:multiLevelType w:val="hybridMultilevel"/>
    <w:tmpl w:val="BDC24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287EB4"/>
    <w:multiLevelType w:val="hybridMultilevel"/>
    <w:tmpl w:val="26505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574831"/>
    <w:multiLevelType w:val="hybridMultilevel"/>
    <w:tmpl w:val="88FCB53E"/>
    <w:lvl w:ilvl="0" w:tplc="95D477B2">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1F7457"/>
    <w:multiLevelType w:val="hybridMultilevel"/>
    <w:tmpl w:val="5AE097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442DCE"/>
    <w:multiLevelType w:val="hybridMultilevel"/>
    <w:tmpl w:val="D2D6DA0E"/>
    <w:lvl w:ilvl="0" w:tplc="E5FC82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B40C0B"/>
    <w:multiLevelType w:val="hybridMultilevel"/>
    <w:tmpl w:val="9C3422F2"/>
    <w:lvl w:ilvl="0" w:tplc="5E5C85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75109B"/>
    <w:multiLevelType w:val="hybridMultilevel"/>
    <w:tmpl w:val="741CCFAE"/>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8" w15:restartNumberingAfterBreak="0">
    <w:nsid w:val="7C69098C"/>
    <w:multiLevelType w:val="hybridMultilevel"/>
    <w:tmpl w:val="E5F8D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6"/>
  </w:num>
  <w:num w:numId="5">
    <w:abstractNumId w:val="8"/>
  </w:num>
  <w:num w:numId="6">
    <w:abstractNumId w:val="3"/>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4C4"/>
    <w:rsid w:val="00003EC7"/>
    <w:rsid w:val="00013068"/>
    <w:rsid w:val="0001416E"/>
    <w:rsid w:val="000273D0"/>
    <w:rsid w:val="00034702"/>
    <w:rsid w:val="00050140"/>
    <w:rsid w:val="00053ACA"/>
    <w:rsid w:val="00054876"/>
    <w:rsid w:val="00055F8E"/>
    <w:rsid w:val="00062A72"/>
    <w:rsid w:val="00081A0D"/>
    <w:rsid w:val="00096D0F"/>
    <w:rsid w:val="000A0F9B"/>
    <w:rsid w:val="000A4A6E"/>
    <w:rsid w:val="000A4C9F"/>
    <w:rsid w:val="000A4E60"/>
    <w:rsid w:val="000B1004"/>
    <w:rsid w:val="000C2E22"/>
    <w:rsid w:val="000C3013"/>
    <w:rsid w:val="000D17AA"/>
    <w:rsid w:val="00104115"/>
    <w:rsid w:val="00122BD2"/>
    <w:rsid w:val="00122CA6"/>
    <w:rsid w:val="00141D6E"/>
    <w:rsid w:val="001442B5"/>
    <w:rsid w:val="0015166E"/>
    <w:rsid w:val="00152CDA"/>
    <w:rsid w:val="001608D6"/>
    <w:rsid w:val="00164268"/>
    <w:rsid w:val="00170657"/>
    <w:rsid w:val="001812F1"/>
    <w:rsid w:val="00181A93"/>
    <w:rsid w:val="00182362"/>
    <w:rsid w:val="00191507"/>
    <w:rsid w:val="001928D7"/>
    <w:rsid w:val="001A3BDD"/>
    <w:rsid w:val="001B1321"/>
    <w:rsid w:val="001C22DD"/>
    <w:rsid w:val="001C6BCA"/>
    <w:rsid w:val="001D5D18"/>
    <w:rsid w:val="001D6037"/>
    <w:rsid w:val="001D7AE5"/>
    <w:rsid w:val="001E7340"/>
    <w:rsid w:val="001E77C8"/>
    <w:rsid w:val="001F484C"/>
    <w:rsid w:val="001F4B0D"/>
    <w:rsid w:val="00230013"/>
    <w:rsid w:val="002435E7"/>
    <w:rsid w:val="0027276C"/>
    <w:rsid w:val="0027506A"/>
    <w:rsid w:val="002752EA"/>
    <w:rsid w:val="00275717"/>
    <w:rsid w:val="00281DDF"/>
    <w:rsid w:val="00283DD0"/>
    <w:rsid w:val="002876C1"/>
    <w:rsid w:val="00293C87"/>
    <w:rsid w:val="00294145"/>
    <w:rsid w:val="002A263F"/>
    <w:rsid w:val="002B33F4"/>
    <w:rsid w:val="002B4924"/>
    <w:rsid w:val="002C4E07"/>
    <w:rsid w:val="002D13D1"/>
    <w:rsid w:val="002D2849"/>
    <w:rsid w:val="002F09D1"/>
    <w:rsid w:val="003020E8"/>
    <w:rsid w:val="00305469"/>
    <w:rsid w:val="00311D47"/>
    <w:rsid w:val="003121AD"/>
    <w:rsid w:val="003171C2"/>
    <w:rsid w:val="00317F6C"/>
    <w:rsid w:val="003249BA"/>
    <w:rsid w:val="00331A18"/>
    <w:rsid w:val="00335A6B"/>
    <w:rsid w:val="00336A1F"/>
    <w:rsid w:val="00340B7B"/>
    <w:rsid w:val="003411FA"/>
    <w:rsid w:val="0034586B"/>
    <w:rsid w:val="00347DF2"/>
    <w:rsid w:val="00351BA1"/>
    <w:rsid w:val="00360AA8"/>
    <w:rsid w:val="003645DE"/>
    <w:rsid w:val="003665AB"/>
    <w:rsid w:val="00370A27"/>
    <w:rsid w:val="003737E3"/>
    <w:rsid w:val="003748F8"/>
    <w:rsid w:val="00377889"/>
    <w:rsid w:val="00383816"/>
    <w:rsid w:val="00392AEE"/>
    <w:rsid w:val="00393871"/>
    <w:rsid w:val="003B58C9"/>
    <w:rsid w:val="003B74AD"/>
    <w:rsid w:val="003C189B"/>
    <w:rsid w:val="003D0C35"/>
    <w:rsid w:val="003E25B4"/>
    <w:rsid w:val="003E5663"/>
    <w:rsid w:val="003E6614"/>
    <w:rsid w:val="00405E61"/>
    <w:rsid w:val="00412CE3"/>
    <w:rsid w:val="004343B2"/>
    <w:rsid w:val="0043653B"/>
    <w:rsid w:val="004368BF"/>
    <w:rsid w:val="00451E7B"/>
    <w:rsid w:val="00453474"/>
    <w:rsid w:val="00456C70"/>
    <w:rsid w:val="004647BF"/>
    <w:rsid w:val="004716A9"/>
    <w:rsid w:val="00471708"/>
    <w:rsid w:val="00476BF6"/>
    <w:rsid w:val="00485496"/>
    <w:rsid w:val="00492810"/>
    <w:rsid w:val="004947CC"/>
    <w:rsid w:val="00496C5B"/>
    <w:rsid w:val="004B03DB"/>
    <w:rsid w:val="004B2CF7"/>
    <w:rsid w:val="004C4B9A"/>
    <w:rsid w:val="004D4019"/>
    <w:rsid w:val="004D560E"/>
    <w:rsid w:val="004E1249"/>
    <w:rsid w:val="004E6E43"/>
    <w:rsid w:val="004F1EFA"/>
    <w:rsid w:val="004F3224"/>
    <w:rsid w:val="004F684C"/>
    <w:rsid w:val="00511E02"/>
    <w:rsid w:val="0051243B"/>
    <w:rsid w:val="005215BF"/>
    <w:rsid w:val="005221E9"/>
    <w:rsid w:val="0052406B"/>
    <w:rsid w:val="005256A7"/>
    <w:rsid w:val="005266BC"/>
    <w:rsid w:val="005271CD"/>
    <w:rsid w:val="00537BF4"/>
    <w:rsid w:val="00544D3D"/>
    <w:rsid w:val="00545C15"/>
    <w:rsid w:val="00545FFA"/>
    <w:rsid w:val="005463EE"/>
    <w:rsid w:val="0055730E"/>
    <w:rsid w:val="00557AF2"/>
    <w:rsid w:val="00586F0C"/>
    <w:rsid w:val="0059160F"/>
    <w:rsid w:val="00592291"/>
    <w:rsid w:val="005A2105"/>
    <w:rsid w:val="005B1F14"/>
    <w:rsid w:val="005B5E41"/>
    <w:rsid w:val="005C6947"/>
    <w:rsid w:val="005D0BE9"/>
    <w:rsid w:val="005D533B"/>
    <w:rsid w:val="005D582E"/>
    <w:rsid w:val="005E3E6E"/>
    <w:rsid w:val="005E5282"/>
    <w:rsid w:val="005F353C"/>
    <w:rsid w:val="00600A99"/>
    <w:rsid w:val="006052D5"/>
    <w:rsid w:val="00614014"/>
    <w:rsid w:val="00617A37"/>
    <w:rsid w:val="006258F0"/>
    <w:rsid w:val="006276AF"/>
    <w:rsid w:val="00633BDA"/>
    <w:rsid w:val="006346F1"/>
    <w:rsid w:val="00645B02"/>
    <w:rsid w:val="0065739F"/>
    <w:rsid w:val="00657D2B"/>
    <w:rsid w:val="0066028D"/>
    <w:rsid w:val="006620A6"/>
    <w:rsid w:val="00667039"/>
    <w:rsid w:val="0067362B"/>
    <w:rsid w:val="0067444F"/>
    <w:rsid w:val="006844E0"/>
    <w:rsid w:val="00687FB9"/>
    <w:rsid w:val="0069074C"/>
    <w:rsid w:val="00690EDB"/>
    <w:rsid w:val="0069141C"/>
    <w:rsid w:val="00696A18"/>
    <w:rsid w:val="006B0E05"/>
    <w:rsid w:val="006B6EEA"/>
    <w:rsid w:val="006B78E5"/>
    <w:rsid w:val="006C0976"/>
    <w:rsid w:val="006C6441"/>
    <w:rsid w:val="006D47DD"/>
    <w:rsid w:val="006D5F77"/>
    <w:rsid w:val="006F16C7"/>
    <w:rsid w:val="007040BD"/>
    <w:rsid w:val="0070765B"/>
    <w:rsid w:val="007259E7"/>
    <w:rsid w:val="007334C8"/>
    <w:rsid w:val="00740B8E"/>
    <w:rsid w:val="0074118E"/>
    <w:rsid w:val="00741AB4"/>
    <w:rsid w:val="007500C6"/>
    <w:rsid w:val="007574C4"/>
    <w:rsid w:val="007653F1"/>
    <w:rsid w:val="00770B3A"/>
    <w:rsid w:val="0077520F"/>
    <w:rsid w:val="00782481"/>
    <w:rsid w:val="007A14AC"/>
    <w:rsid w:val="007A2861"/>
    <w:rsid w:val="007A4A67"/>
    <w:rsid w:val="007B24A3"/>
    <w:rsid w:val="007C57D4"/>
    <w:rsid w:val="007D7C02"/>
    <w:rsid w:val="007E579C"/>
    <w:rsid w:val="007F2A22"/>
    <w:rsid w:val="007F7424"/>
    <w:rsid w:val="008053BC"/>
    <w:rsid w:val="00805DD6"/>
    <w:rsid w:val="0081441A"/>
    <w:rsid w:val="00831006"/>
    <w:rsid w:val="008351CF"/>
    <w:rsid w:val="0084079D"/>
    <w:rsid w:val="00840DBC"/>
    <w:rsid w:val="00845D97"/>
    <w:rsid w:val="00852284"/>
    <w:rsid w:val="00853461"/>
    <w:rsid w:val="00857129"/>
    <w:rsid w:val="008602B5"/>
    <w:rsid w:val="008627F2"/>
    <w:rsid w:val="00863CD6"/>
    <w:rsid w:val="008640F4"/>
    <w:rsid w:val="00866A81"/>
    <w:rsid w:val="00866E80"/>
    <w:rsid w:val="0087411F"/>
    <w:rsid w:val="00874E49"/>
    <w:rsid w:val="00886232"/>
    <w:rsid w:val="00886D41"/>
    <w:rsid w:val="00890F39"/>
    <w:rsid w:val="008913F2"/>
    <w:rsid w:val="00895E68"/>
    <w:rsid w:val="0089615A"/>
    <w:rsid w:val="008977D7"/>
    <w:rsid w:val="008A4D30"/>
    <w:rsid w:val="008A6945"/>
    <w:rsid w:val="008A6DFF"/>
    <w:rsid w:val="008C4E33"/>
    <w:rsid w:val="008C4ED6"/>
    <w:rsid w:val="008C767B"/>
    <w:rsid w:val="008D1BF9"/>
    <w:rsid w:val="008D26FF"/>
    <w:rsid w:val="008D70E9"/>
    <w:rsid w:val="008F2E2F"/>
    <w:rsid w:val="008F75A7"/>
    <w:rsid w:val="00906019"/>
    <w:rsid w:val="0090783C"/>
    <w:rsid w:val="00913857"/>
    <w:rsid w:val="00920389"/>
    <w:rsid w:val="00924C48"/>
    <w:rsid w:val="00925439"/>
    <w:rsid w:val="00930F35"/>
    <w:rsid w:val="00931436"/>
    <w:rsid w:val="0093165C"/>
    <w:rsid w:val="00931C49"/>
    <w:rsid w:val="009350B7"/>
    <w:rsid w:val="00937E8C"/>
    <w:rsid w:val="0094004A"/>
    <w:rsid w:val="00942AD0"/>
    <w:rsid w:val="009432B2"/>
    <w:rsid w:val="00957521"/>
    <w:rsid w:val="00962C15"/>
    <w:rsid w:val="00965B00"/>
    <w:rsid w:val="0096633D"/>
    <w:rsid w:val="009731E8"/>
    <w:rsid w:val="009908A6"/>
    <w:rsid w:val="00990C55"/>
    <w:rsid w:val="0099300A"/>
    <w:rsid w:val="00994F71"/>
    <w:rsid w:val="009A7F30"/>
    <w:rsid w:val="009B0202"/>
    <w:rsid w:val="009B304B"/>
    <w:rsid w:val="009B7537"/>
    <w:rsid w:val="009C3ED3"/>
    <w:rsid w:val="009C68D0"/>
    <w:rsid w:val="009D4A03"/>
    <w:rsid w:val="009D4B3A"/>
    <w:rsid w:val="009E37BC"/>
    <w:rsid w:val="00A03709"/>
    <w:rsid w:val="00A12824"/>
    <w:rsid w:val="00A13A17"/>
    <w:rsid w:val="00A34694"/>
    <w:rsid w:val="00A403E7"/>
    <w:rsid w:val="00A424B7"/>
    <w:rsid w:val="00A4296A"/>
    <w:rsid w:val="00A474EF"/>
    <w:rsid w:val="00A51DFB"/>
    <w:rsid w:val="00A6169A"/>
    <w:rsid w:val="00A65F65"/>
    <w:rsid w:val="00A6700B"/>
    <w:rsid w:val="00A715C2"/>
    <w:rsid w:val="00A72E19"/>
    <w:rsid w:val="00A806EC"/>
    <w:rsid w:val="00A81D24"/>
    <w:rsid w:val="00A8570E"/>
    <w:rsid w:val="00AA1304"/>
    <w:rsid w:val="00AA2173"/>
    <w:rsid w:val="00AB1EA8"/>
    <w:rsid w:val="00AC228D"/>
    <w:rsid w:val="00AC34B3"/>
    <w:rsid w:val="00AD0264"/>
    <w:rsid w:val="00AD0C2E"/>
    <w:rsid w:val="00AD3936"/>
    <w:rsid w:val="00AD6E0F"/>
    <w:rsid w:val="00AE7EA7"/>
    <w:rsid w:val="00B03E72"/>
    <w:rsid w:val="00B076E0"/>
    <w:rsid w:val="00B07BEE"/>
    <w:rsid w:val="00B10F8F"/>
    <w:rsid w:val="00B1110D"/>
    <w:rsid w:val="00B11966"/>
    <w:rsid w:val="00B13CCD"/>
    <w:rsid w:val="00B16E73"/>
    <w:rsid w:val="00B2266B"/>
    <w:rsid w:val="00B3130E"/>
    <w:rsid w:val="00B456DA"/>
    <w:rsid w:val="00B53263"/>
    <w:rsid w:val="00B732B0"/>
    <w:rsid w:val="00B765D2"/>
    <w:rsid w:val="00B81BB9"/>
    <w:rsid w:val="00B95B4D"/>
    <w:rsid w:val="00BA01B6"/>
    <w:rsid w:val="00BB0CC5"/>
    <w:rsid w:val="00BB197C"/>
    <w:rsid w:val="00BB324D"/>
    <w:rsid w:val="00BB33FA"/>
    <w:rsid w:val="00BB3811"/>
    <w:rsid w:val="00BB3D4A"/>
    <w:rsid w:val="00BB482C"/>
    <w:rsid w:val="00BC0A6B"/>
    <w:rsid w:val="00BC26DB"/>
    <w:rsid w:val="00BC546C"/>
    <w:rsid w:val="00BD4BFA"/>
    <w:rsid w:val="00BD5BF4"/>
    <w:rsid w:val="00BD7B16"/>
    <w:rsid w:val="00BE088C"/>
    <w:rsid w:val="00BE678D"/>
    <w:rsid w:val="00BF266C"/>
    <w:rsid w:val="00C0006D"/>
    <w:rsid w:val="00C07FFB"/>
    <w:rsid w:val="00C1694E"/>
    <w:rsid w:val="00C23313"/>
    <w:rsid w:val="00C24305"/>
    <w:rsid w:val="00C2477E"/>
    <w:rsid w:val="00C24E0E"/>
    <w:rsid w:val="00C2651E"/>
    <w:rsid w:val="00C30749"/>
    <w:rsid w:val="00C32FED"/>
    <w:rsid w:val="00C55C7C"/>
    <w:rsid w:val="00C605EC"/>
    <w:rsid w:val="00C71FE0"/>
    <w:rsid w:val="00C7342D"/>
    <w:rsid w:val="00C73ACE"/>
    <w:rsid w:val="00C80D56"/>
    <w:rsid w:val="00C80F15"/>
    <w:rsid w:val="00C81D5B"/>
    <w:rsid w:val="00C86749"/>
    <w:rsid w:val="00C87993"/>
    <w:rsid w:val="00C94C3F"/>
    <w:rsid w:val="00CA0593"/>
    <w:rsid w:val="00CA28F3"/>
    <w:rsid w:val="00CB13D5"/>
    <w:rsid w:val="00CB760A"/>
    <w:rsid w:val="00CC6E39"/>
    <w:rsid w:val="00CD02A7"/>
    <w:rsid w:val="00CD2CAF"/>
    <w:rsid w:val="00CD34DB"/>
    <w:rsid w:val="00CD3F14"/>
    <w:rsid w:val="00CD5196"/>
    <w:rsid w:val="00CE6F19"/>
    <w:rsid w:val="00CF41DC"/>
    <w:rsid w:val="00CF5156"/>
    <w:rsid w:val="00D018BA"/>
    <w:rsid w:val="00D05F72"/>
    <w:rsid w:val="00D16D64"/>
    <w:rsid w:val="00D2521B"/>
    <w:rsid w:val="00D31869"/>
    <w:rsid w:val="00D34068"/>
    <w:rsid w:val="00D53B5D"/>
    <w:rsid w:val="00D626C8"/>
    <w:rsid w:val="00D71B66"/>
    <w:rsid w:val="00D72EE8"/>
    <w:rsid w:val="00D81264"/>
    <w:rsid w:val="00D848CF"/>
    <w:rsid w:val="00D97846"/>
    <w:rsid w:val="00DB1D49"/>
    <w:rsid w:val="00DB7702"/>
    <w:rsid w:val="00DD01E5"/>
    <w:rsid w:val="00DD54BF"/>
    <w:rsid w:val="00DD6D11"/>
    <w:rsid w:val="00DD7395"/>
    <w:rsid w:val="00DE3320"/>
    <w:rsid w:val="00DE3D50"/>
    <w:rsid w:val="00DF1465"/>
    <w:rsid w:val="00E01A58"/>
    <w:rsid w:val="00E127F5"/>
    <w:rsid w:val="00E1472A"/>
    <w:rsid w:val="00E1527C"/>
    <w:rsid w:val="00E21BB7"/>
    <w:rsid w:val="00E324BD"/>
    <w:rsid w:val="00E33165"/>
    <w:rsid w:val="00E35C04"/>
    <w:rsid w:val="00E643D9"/>
    <w:rsid w:val="00E64414"/>
    <w:rsid w:val="00E65F28"/>
    <w:rsid w:val="00E66D9F"/>
    <w:rsid w:val="00E66E7B"/>
    <w:rsid w:val="00E675E6"/>
    <w:rsid w:val="00E73258"/>
    <w:rsid w:val="00E80A5B"/>
    <w:rsid w:val="00E9149E"/>
    <w:rsid w:val="00E94915"/>
    <w:rsid w:val="00E95CCB"/>
    <w:rsid w:val="00EA4122"/>
    <w:rsid w:val="00EB18FB"/>
    <w:rsid w:val="00EB21D4"/>
    <w:rsid w:val="00EB4191"/>
    <w:rsid w:val="00EC43D9"/>
    <w:rsid w:val="00EC4927"/>
    <w:rsid w:val="00EC6D67"/>
    <w:rsid w:val="00ED00A8"/>
    <w:rsid w:val="00ED621C"/>
    <w:rsid w:val="00EE1D00"/>
    <w:rsid w:val="00EF5B0A"/>
    <w:rsid w:val="00EF7FE3"/>
    <w:rsid w:val="00F11DF9"/>
    <w:rsid w:val="00F14E60"/>
    <w:rsid w:val="00F15A97"/>
    <w:rsid w:val="00F23605"/>
    <w:rsid w:val="00F26062"/>
    <w:rsid w:val="00F260BE"/>
    <w:rsid w:val="00F300F4"/>
    <w:rsid w:val="00F342B7"/>
    <w:rsid w:val="00F4220B"/>
    <w:rsid w:val="00F4357F"/>
    <w:rsid w:val="00F44373"/>
    <w:rsid w:val="00F450B0"/>
    <w:rsid w:val="00F45987"/>
    <w:rsid w:val="00F50440"/>
    <w:rsid w:val="00F53998"/>
    <w:rsid w:val="00F56E30"/>
    <w:rsid w:val="00F611D6"/>
    <w:rsid w:val="00F62A2A"/>
    <w:rsid w:val="00F63E41"/>
    <w:rsid w:val="00F64F5A"/>
    <w:rsid w:val="00F65F56"/>
    <w:rsid w:val="00F661EF"/>
    <w:rsid w:val="00F71698"/>
    <w:rsid w:val="00F71A28"/>
    <w:rsid w:val="00F74CB8"/>
    <w:rsid w:val="00F7551F"/>
    <w:rsid w:val="00F75ACF"/>
    <w:rsid w:val="00F84F1A"/>
    <w:rsid w:val="00F85933"/>
    <w:rsid w:val="00FA7374"/>
    <w:rsid w:val="00FB1A8D"/>
    <w:rsid w:val="00FB369A"/>
    <w:rsid w:val="00FC5F8A"/>
    <w:rsid w:val="00FD4884"/>
    <w:rsid w:val="00FD5FF1"/>
    <w:rsid w:val="00FE1862"/>
    <w:rsid w:val="00FF43A3"/>
    <w:rsid w:val="00FF461A"/>
    <w:rsid w:val="00FF4A5A"/>
    <w:rsid w:val="00FF4B5F"/>
    <w:rsid w:val="00FF6B15"/>
    <w:rsid w:val="00FF7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BDAE2"/>
  <w15:docId w15:val="{8003DDB8-FEF5-49A3-B57C-E3FF7429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before="100" w:beforeAutospacing="1" w:after="100" w:afterAutospacing="1"/>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34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74C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30013"/>
    <w:pPr>
      <w:tabs>
        <w:tab w:val="center" w:pos="4680"/>
        <w:tab w:val="right" w:pos="9360"/>
      </w:tabs>
      <w:spacing w:after="0"/>
    </w:pPr>
  </w:style>
  <w:style w:type="character" w:customStyle="1" w:styleId="HeaderChar">
    <w:name w:val="Header Char"/>
    <w:basedOn w:val="DefaultParagraphFont"/>
    <w:link w:val="Header"/>
    <w:uiPriority w:val="99"/>
    <w:rsid w:val="00230013"/>
  </w:style>
  <w:style w:type="paragraph" w:styleId="Footer">
    <w:name w:val="footer"/>
    <w:basedOn w:val="Normal"/>
    <w:link w:val="FooterChar"/>
    <w:uiPriority w:val="99"/>
    <w:unhideWhenUsed/>
    <w:rsid w:val="00230013"/>
    <w:pPr>
      <w:tabs>
        <w:tab w:val="center" w:pos="4680"/>
        <w:tab w:val="right" w:pos="9360"/>
      </w:tabs>
      <w:spacing w:after="0"/>
    </w:pPr>
  </w:style>
  <w:style w:type="character" w:customStyle="1" w:styleId="FooterChar">
    <w:name w:val="Footer Char"/>
    <w:basedOn w:val="DefaultParagraphFont"/>
    <w:link w:val="Footer"/>
    <w:uiPriority w:val="99"/>
    <w:rsid w:val="00230013"/>
  </w:style>
  <w:style w:type="character" w:styleId="Hyperlink">
    <w:name w:val="Hyperlink"/>
    <w:basedOn w:val="DefaultParagraphFont"/>
    <w:rsid w:val="00C87993"/>
    <w:rPr>
      <w:color w:val="0000FF"/>
      <w:u w:val="single"/>
    </w:rPr>
  </w:style>
  <w:style w:type="paragraph" w:styleId="NormalWeb">
    <w:name w:val="Normal (Web)"/>
    <w:basedOn w:val="Normal"/>
    <w:rsid w:val="00C87993"/>
    <w:rPr>
      <w:rFonts w:eastAsia="Times New Roman"/>
    </w:rPr>
  </w:style>
  <w:style w:type="paragraph" w:styleId="ListParagraph">
    <w:name w:val="List Paragraph"/>
    <w:basedOn w:val="Normal"/>
    <w:uiPriority w:val="34"/>
    <w:qFormat/>
    <w:rsid w:val="00EC43D9"/>
    <w:pPr>
      <w:ind w:left="720"/>
      <w:contextualSpacing/>
    </w:pPr>
  </w:style>
  <w:style w:type="character" w:customStyle="1" w:styleId="object">
    <w:name w:val="object"/>
    <w:basedOn w:val="DefaultParagraphFont"/>
    <w:rsid w:val="0052406B"/>
  </w:style>
  <w:style w:type="character" w:customStyle="1" w:styleId="subfield">
    <w:name w:val="subfield"/>
    <w:basedOn w:val="DefaultParagraphFont"/>
    <w:rsid w:val="00886232"/>
  </w:style>
  <w:style w:type="paragraph" w:styleId="BalloonText">
    <w:name w:val="Balloon Text"/>
    <w:basedOn w:val="Normal"/>
    <w:link w:val="BalloonTextChar"/>
    <w:uiPriority w:val="99"/>
    <w:semiHidden/>
    <w:unhideWhenUsed/>
    <w:rsid w:val="00F14E6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E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332198">
      <w:bodyDiv w:val="1"/>
      <w:marLeft w:val="0"/>
      <w:marRight w:val="0"/>
      <w:marTop w:val="0"/>
      <w:marBottom w:val="0"/>
      <w:divBdr>
        <w:top w:val="none" w:sz="0" w:space="0" w:color="auto"/>
        <w:left w:val="none" w:sz="0" w:space="0" w:color="auto"/>
        <w:bottom w:val="none" w:sz="0" w:space="0" w:color="auto"/>
        <w:right w:val="none" w:sz="0" w:space="0" w:color="auto"/>
      </w:divBdr>
    </w:div>
    <w:div w:id="187302315">
      <w:bodyDiv w:val="1"/>
      <w:marLeft w:val="0"/>
      <w:marRight w:val="0"/>
      <w:marTop w:val="0"/>
      <w:marBottom w:val="0"/>
      <w:divBdr>
        <w:top w:val="none" w:sz="0" w:space="0" w:color="auto"/>
        <w:left w:val="none" w:sz="0" w:space="0" w:color="auto"/>
        <w:bottom w:val="none" w:sz="0" w:space="0" w:color="auto"/>
        <w:right w:val="none" w:sz="0" w:space="0" w:color="auto"/>
      </w:divBdr>
    </w:div>
    <w:div w:id="1518809271">
      <w:bodyDiv w:val="1"/>
      <w:marLeft w:val="0"/>
      <w:marRight w:val="0"/>
      <w:marTop w:val="0"/>
      <w:marBottom w:val="0"/>
      <w:divBdr>
        <w:top w:val="none" w:sz="0" w:space="0" w:color="auto"/>
        <w:left w:val="none" w:sz="0" w:space="0" w:color="auto"/>
        <w:bottom w:val="none" w:sz="0" w:space="0" w:color="auto"/>
        <w:right w:val="none" w:sz="0" w:space="0" w:color="auto"/>
      </w:divBdr>
      <w:divsChild>
        <w:div w:id="376308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sability@rochester.edu" TargetMode="External"/><Relationship Id="rId3" Type="http://schemas.openxmlformats.org/officeDocument/2006/relationships/settings" Target="settings.xml"/><Relationship Id="rId7" Type="http://schemas.openxmlformats.org/officeDocument/2006/relationships/hyperlink" Target="mailto:elias.mandala@rochester.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istorians.org/teaching-and-learning/teaching-resources-for-historians/plagiarism-curricular-materials-for-history-instructors/defining-plagia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Elias Mandala</dc:creator>
  <cp:lastModifiedBy>Mandala, Elias</cp:lastModifiedBy>
  <cp:revision>2</cp:revision>
  <cp:lastPrinted>2023-01-12T05:56:00Z</cp:lastPrinted>
  <dcterms:created xsi:type="dcterms:W3CDTF">2023-01-17T00:42:00Z</dcterms:created>
  <dcterms:modified xsi:type="dcterms:W3CDTF">2023-01-17T00:42:00Z</dcterms:modified>
</cp:coreProperties>
</file>