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1C" w:rsidRPr="00733FB1" w:rsidRDefault="00AA3D1C" w:rsidP="002C767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z w:val="28"/>
          <w:szCs w:val="28"/>
        </w:rPr>
      </w:pPr>
      <w:r w:rsidRPr="00733FB1">
        <w:rPr>
          <w:rFonts w:ascii="Algerian" w:hAnsi="Algerian"/>
          <w:b/>
          <w:sz w:val="28"/>
          <w:szCs w:val="28"/>
        </w:rPr>
        <w:t>HIS200: GATEWAY TO HISTORY</w:t>
      </w:r>
    </w:p>
    <w:p w:rsidR="000031A8" w:rsidRPr="00723F28" w:rsidRDefault="000031A8" w:rsidP="002C7671">
      <w:pPr>
        <w:jc w:val="center"/>
      </w:pPr>
      <w:r w:rsidRPr="00021C0B">
        <w:rPr>
          <w:sz w:val="32"/>
          <w:szCs w:val="32"/>
        </w:rPr>
        <w:t>THE RISE AND FALL OF APARTHEID IN SOUTH AFRICA</w:t>
      </w:r>
    </w:p>
    <w:p w:rsidR="000031A8" w:rsidRPr="00E02E33" w:rsidRDefault="009B7319" w:rsidP="008968D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pacing w:val="-3"/>
        </w:rPr>
      </w:pPr>
      <w:r>
        <w:rPr>
          <w:b/>
          <w:spacing w:val="-3"/>
        </w:rPr>
        <w:t>Spring 2022</w:t>
      </w:r>
    </w:p>
    <w:p w:rsidR="000031A8" w:rsidRDefault="000031A8" w:rsidP="000031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pacing w:val="-3"/>
        </w:rPr>
      </w:pPr>
    </w:p>
    <w:p w:rsidR="000031A8" w:rsidRDefault="000031A8" w:rsidP="000031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pacing w:val="-3"/>
        </w:rPr>
      </w:pPr>
      <w:r>
        <w:rPr>
          <w:spacing w:val="-3"/>
        </w:rPr>
        <w:t>Elias Mandala</w:t>
      </w:r>
    </w:p>
    <w:p w:rsidR="000031A8" w:rsidRDefault="000031A8" w:rsidP="000031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pacing w:val="-3"/>
        </w:rPr>
      </w:pPr>
      <w:r>
        <w:rPr>
          <w:spacing w:val="-3"/>
        </w:rPr>
        <w:t xml:space="preserve">Office Location: Rush </w:t>
      </w:r>
      <w:proofErr w:type="spellStart"/>
      <w:r>
        <w:rPr>
          <w:spacing w:val="-3"/>
        </w:rPr>
        <w:t>Rhees</w:t>
      </w:r>
      <w:proofErr w:type="spellEnd"/>
      <w:r>
        <w:rPr>
          <w:spacing w:val="-3"/>
        </w:rPr>
        <w:t xml:space="preserve"> Library 439</w:t>
      </w:r>
    </w:p>
    <w:p w:rsidR="000031A8" w:rsidRDefault="000031A8" w:rsidP="000031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pacing w:val="-3"/>
        </w:rPr>
      </w:pPr>
      <w:r>
        <w:rPr>
          <w:spacing w:val="-3"/>
        </w:rPr>
        <w:t>Off</w:t>
      </w:r>
      <w:r w:rsidR="006F0494">
        <w:rPr>
          <w:spacing w:val="-3"/>
        </w:rPr>
        <w:t xml:space="preserve">ice Hours: </w:t>
      </w:r>
      <w:r w:rsidR="00733FB1">
        <w:rPr>
          <w:spacing w:val="-3"/>
        </w:rPr>
        <w:t xml:space="preserve">Mondays, </w:t>
      </w:r>
      <w:r w:rsidR="006F0494">
        <w:rPr>
          <w:spacing w:val="-3"/>
        </w:rPr>
        <w:t xml:space="preserve">Wednesday 1530-1630  </w:t>
      </w:r>
    </w:p>
    <w:p w:rsidR="000031A8" w:rsidRDefault="000031A8" w:rsidP="000031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pacing w:val="-3"/>
        </w:rPr>
      </w:pPr>
      <w:r>
        <w:rPr>
          <w:spacing w:val="-3"/>
        </w:rPr>
        <w:t>Phone Number: 585.275.2058</w:t>
      </w:r>
    </w:p>
    <w:p w:rsidR="000031A8" w:rsidRDefault="000031A8" w:rsidP="000031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pacing w:val="-3"/>
        </w:rPr>
      </w:pPr>
      <w:r>
        <w:rPr>
          <w:spacing w:val="-3"/>
        </w:rPr>
        <w:t xml:space="preserve">Email: </w:t>
      </w:r>
      <w:hyperlink r:id="rId8" w:history="1">
        <w:r w:rsidR="006F0494" w:rsidRPr="008512A7">
          <w:rPr>
            <w:rStyle w:val="Hyperlink"/>
            <w:spacing w:val="-3"/>
          </w:rPr>
          <w:t>elias.mandala@rochester.edu</w:t>
        </w:r>
      </w:hyperlink>
    </w:p>
    <w:p w:rsidR="000031A8" w:rsidRDefault="000031A8" w:rsidP="000031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rsidR="000031A8" w:rsidRDefault="000031A8" w:rsidP="000031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pacing w:val="-3"/>
        </w:rPr>
      </w:pPr>
      <w:r>
        <w:t xml:space="preserve">Class Meets in </w:t>
      </w:r>
      <w:proofErr w:type="spellStart"/>
      <w:r w:rsidR="00A4646B">
        <w:t>Meliora</w:t>
      </w:r>
      <w:proofErr w:type="spellEnd"/>
      <w:r w:rsidR="00A4646B">
        <w:t xml:space="preserve"> 224 from 1400 to 1515</w:t>
      </w:r>
    </w:p>
    <w:p w:rsidR="000031A8" w:rsidRPr="008A34BF" w:rsidRDefault="000031A8" w:rsidP="000031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rsidR="000031A8" w:rsidRDefault="000031A8" w:rsidP="000031A8">
      <w:pPr>
        <w:jc w:val="both"/>
        <w:rPr>
          <w:sz w:val="40"/>
          <w:szCs w:val="40"/>
        </w:rPr>
      </w:pPr>
    </w:p>
    <w:p w:rsidR="000031A8" w:rsidRPr="00E00DE9" w:rsidRDefault="000031A8" w:rsidP="000031A8">
      <w:pPr>
        <w:jc w:val="both"/>
        <w:rPr>
          <w:sz w:val="32"/>
          <w:szCs w:val="32"/>
        </w:rPr>
      </w:pPr>
      <w:r w:rsidRPr="00E00DE9">
        <w:rPr>
          <w:sz w:val="32"/>
          <w:szCs w:val="32"/>
        </w:rPr>
        <w:t>Course Description</w:t>
      </w:r>
    </w:p>
    <w:p w:rsidR="000031A8" w:rsidRPr="00D131CE" w:rsidRDefault="000031A8" w:rsidP="000031A8">
      <w:pPr>
        <w:autoSpaceDE w:val="0"/>
        <w:autoSpaceDN w:val="0"/>
        <w:adjustRightInd w:val="0"/>
        <w:jc w:val="both"/>
      </w:pPr>
      <w:r w:rsidRPr="00CC2816">
        <w:t xml:space="preserve">This seminar is designed to introduce students to the skills and concepts necessary to study college-level history. It will emphasize research, interpretation, argument, and writing by investigating a series of problems </w:t>
      </w:r>
      <w:r>
        <w:t>in the historical study of apartheid in South Africa</w:t>
      </w:r>
      <w:r w:rsidRPr="00CC2816">
        <w:t xml:space="preserve">. </w:t>
      </w:r>
      <w:r w:rsidRPr="00D131CE">
        <w:t xml:space="preserve"> </w:t>
      </w:r>
    </w:p>
    <w:p w:rsidR="000031A8" w:rsidRPr="00D131CE" w:rsidRDefault="000031A8" w:rsidP="000031A8">
      <w:pPr>
        <w:autoSpaceDE w:val="0"/>
        <w:autoSpaceDN w:val="0"/>
        <w:adjustRightInd w:val="0"/>
        <w:jc w:val="both"/>
      </w:pPr>
    </w:p>
    <w:p w:rsidR="000031A8" w:rsidRDefault="000031A8" w:rsidP="000031A8">
      <w:pPr>
        <w:jc w:val="both"/>
        <w:rPr>
          <w:rFonts w:ascii="Calibri" w:eastAsia="Calibri" w:hAnsi="Calibri"/>
          <w:sz w:val="22"/>
          <w:szCs w:val="22"/>
        </w:rPr>
      </w:pPr>
      <w:r>
        <w:t xml:space="preserve">Whereas radical scholars view apartheid, or South Africa’s policy of racial segregation, as the workhorse of the country’s economic growth, liberals take the opposite view — apartheid has been an impediment to the creation of a free market. This course assesses the two positions as part of a study of key developments leading to the rise and fall of the apartheid regime.  </w:t>
      </w:r>
    </w:p>
    <w:p w:rsidR="000031A8" w:rsidRDefault="000031A8" w:rsidP="000031A8">
      <w:pPr>
        <w:jc w:val="both"/>
        <w:rPr>
          <w:sz w:val="32"/>
          <w:szCs w:val="32"/>
        </w:rPr>
      </w:pPr>
    </w:p>
    <w:p w:rsidR="000031A8" w:rsidRPr="00E00DE9" w:rsidRDefault="000031A8" w:rsidP="000031A8">
      <w:pPr>
        <w:jc w:val="both"/>
        <w:rPr>
          <w:sz w:val="32"/>
          <w:szCs w:val="32"/>
        </w:rPr>
      </w:pPr>
      <w:r w:rsidRPr="00E00DE9">
        <w:rPr>
          <w:sz w:val="32"/>
          <w:szCs w:val="32"/>
        </w:rPr>
        <w:t>Required Texts</w:t>
      </w:r>
      <w:r w:rsidR="00BE6D65">
        <w:rPr>
          <w:sz w:val="32"/>
          <w:szCs w:val="32"/>
        </w:rPr>
        <w:t>*</w:t>
      </w:r>
    </w:p>
    <w:p w:rsidR="000031A8" w:rsidRDefault="000031A8" w:rsidP="000031A8">
      <w:pPr>
        <w:jc w:val="both"/>
      </w:pPr>
      <w:r>
        <w:t xml:space="preserve">William </w:t>
      </w:r>
      <w:proofErr w:type="spellStart"/>
      <w:r>
        <w:t>Beinart</w:t>
      </w:r>
      <w:proofErr w:type="spellEnd"/>
      <w:r>
        <w:t xml:space="preserve">, </w:t>
      </w:r>
      <w:r w:rsidRPr="00D675AD">
        <w:rPr>
          <w:i/>
        </w:rPr>
        <w:t xml:space="preserve">Twentieth-century </w:t>
      </w:r>
      <w:smartTag w:uri="urn:schemas-microsoft-com:office:smarttags" w:element="place">
        <w:smartTag w:uri="urn:schemas-microsoft-com:office:smarttags" w:element="country-region">
          <w:r w:rsidRPr="00D675AD">
            <w:rPr>
              <w:i/>
            </w:rPr>
            <w:t>South Africa</w:t>
          </w:r>
        </w:smartTag>
      </w:smartTag>
      <w:r>
        <w:t xml:space="preserve"> (Oxford, New York: Oxford University Press, </w:t>
      </w:r>
      <w:r w:rsidRPr="00D93BF5">
        <w:t>2001</w:t>
      </w:r>
      <w:r>
        <w:t xml:space="preserve"> [1994]). </w:t>
      </w:r>
    </w:p>
    <w:p w:rsidR="00241548" w:rsidRDefault="00241548" w:rsidP="000031A8">
      <w:pPr>
        <w:jc w:val="both"/>
      </w:pPr>
      <w:proofErr w:type="gramStart"/>
      <w:r>
        <w:t xml:space="preserve">Mary L. </w:t>
      </w:r>
      <w:proofErr w:type="spellStart"/>
      <w:r>
        <w:t>Rampolla</w:t>
      </w:r>
      <w:proofErr w:type="spellEnd"/>
      <w:r w:rsidRPr="00A71F8E">
        <w:t xml:space="preserve">, </w:t>
      </w:r>
      <w:r w:rsidRPr="00A71F8E">
        <w:rPr>
          <w:i/>
        </w:rPr>
        <w:t>A Pocket Guide to Writing in History</w:t>
      </w:r>
      <w:r>
        <w:rPr>
          <w:i/>
        </w:rPr>
        <w:t xml:space="preserve"> </w:t>
      </w:r>
      <w:r w:rsidRPr="00542D0F">
        <w:t>(</w:t>
      </w:r>
      <w:r>
        <w:t>Bedford/St. Martin’s, Boston/New York, 2012 [2004]).</w:t>
      </w:r>
      <w:proofErr w:type="gramEnd"/>
      <w:r>
        <w:t xml:space="preserve"> </w:t>
      </w:r>
    </w:p>
    <w:p w:rsidR="00BE6D65" w:rsidRPr="00BE6D65" w:rsidRDefault="00BE6D65" w:rsidP="00BE6D65">
      <w:r w:rsidRPr="00BE6D65">
        <w:t>*</w:t>
      </w:r>
      <w:r w:rsidRPr="00BE6D65">
        <w:rPr>
          <w:color w:val="000000"/>
          <w:shd w:val="clear" w:color="auto" w:fill="FFFFFF"/>
        </w:rPr>
        <w:t xml:space="preserve"> The Kelly Family History Book Fund </w:t>
      </w:r>
      <w:r w:rsidR="004627D5">
        <w:rPr>
          <w:color w:val="000000"/>
          <w:shd w:val="clear" w:color="auto" w:fill="FFFFFF"/>
        </w:rPr>
        <w:t xml:space="preserve">will give you money to purchase required </w:t>
      </w:r>
      <w:r w:rsidRPr="00BE6D65">
        <w:rPr>
          <w:color w:val="000000"/>
          <w:shd w:val="clear" w:color="auto" w:fill="FFFFFF"/>
        </w:rPr>
        <w:t>textbooks</w:t>
      </w:r>
      <w:r w:rsidR="004627D5">
        <w:rPr>
          <w:color w:val="000000"/>
          <w:shd w:val="clear" w:color="auto" w:fill="FFFFFF"/>
        </w:rPr>
        <w:t xml:space="preserve"> in History</w:t>
      </w:r>
      <w:r w:rsidR="00DB5B8D">
        <w:rPr>
          <w:color w:val="000000"/>
          <w:shd w:val="clear" w:color="auto" w:fill="FFFFFF"/>
        </w:rPr>
        <w:t>; contact the History Department’s Administrator.</w:t>
      </w:r>
      <w:r w:rsidRPr="00BE6D65">
        <w:rPr>
          <w:color w:val="000000"/>
          <w:shd w:val="clear" w:color="auto" w:fill="FFFFFF"/>
        </w:rPr>
        <w:t xml:space="preserve"> </w:t>
      </w:r>
    </w:p>
    <w:p w:rsidR="00BE6D65" w:rsidRDefault="00BE6D65" w:rsidP="000031A8">
      <w:pPr>
        <w:jc w:val="both"/>
      </w:pPr>
    </w:p>
    <w:p w:rsidR="00627EB8" w:rsidRDefault="00627EB8" w:rsidP="00627EB8">
      <w:pPr>
        <w:pStyle w:val="NormalWeb"/>
        <w:spacing w:before="0" w:beforeAutospacing="0" w:after="0" w:afterAutospacing="0"/>
        <w:jc w:val="both"/>
        <w:rPr>
          <w:sz w:val="32"/>
          <w:szCs w:val="32"/>
        </w:rPr>
      </w:pPr>
      <w:r w:rsidRPr="00E00DE9">
        <w:rPr>
          <w:sz w:val="32"/>
          <w:szCs w:val="32"/>
        </w:rPr>
        <w:t>Requirements</w:t>
      </w:r>
      <w:r>
        <w:rPr>
          <w:sz w:val="32"/>
          <w:szCs w:val="32"/>
        </w:rPr>
        <w:t xml:space="preserve">, </w:t>
      </w:r>
      <w:r w:rsidRPr="00E00DE9">
        <w:rPr>
          <w:sz w:val="32"/>
          <w:szCs w:val="32"/>
        </w:rPr>
        <w:t>Assignments</w:t>
      </w:r>
      <w:r>
        <w:rPr>
          <w:sz w:val="32"/>
          <w:szCs w:val="32"/>
        </w:rPr>
        <w:t>, and Grading</w:t>
      </w:r>
    </w:p>
    <w:p w:rsidR="00627EB8" w:rsidRDefault="00627EB8" w:rsidP="00627EB8">
      <w:pPr>
        <w:pStyle w:val="NormalWeb"/>
        <w:spacing w:before="0" w:beforeAutospacing="0" w:after="0" w:afterAutospacing="0"/>
        <w:jc w:val="both"/>
        <w:rPr>
          <w:spacing w:val="-3"/>
        </w:rPr>
      </w:pPr>
      <w:r w:rsidRPr="0048385C">
        <w:rPr>
          <w:spacing w:val="-3"/>
        </w:rPr>
        <w:t xml:space="preserve">1. Attendance and participation in seminar discussions are mandatory. </w:t>
      </w:r>
    </w:p>
    <w:p w:rsidR="00627EB8" w:rsidRDefault="00627EB8" w:rsidP="00627EB8">
      <w:pPr>
        <w:pStyle w:val="NormalWeb"/>
        <w:spacing w:before="0" w:beforeAutospacing="0" w:after="0" w:afterAutospacing="0"/>
        <w:jc w:val="both"/>
      </w:pPr>
      <w:r>
        <w:rPr>
          <w:spacing w:val="-3"/>
        </w:rPr>
        <w:t xml:space="preserve">2. One Workshop Exercise: </w:t>
      </w:r>
      <w:r>
        <w:t xml:space="preserve"> </w:t>
      </w:r>
      <w:r w:rsidRPr="001445E8">
        <w:rPr>
          <w:i/>
        </w:rPr>
        <w:t>Quo</w:t>
      </w:r>
      <w:r>
        <w:rPr>
          <w:i/>
        </w:rPr>
        <w:t xml:space="preserve">tation and Citation, due </w:t>
      </w:r>
      <w:r>
        <w:rPr>
          <w:b/>
          <w:i/>
        </w:rPr>
        <w:t>21 March</w:t>
      </w:r>
    </w:p>
    <w:p w:rsidR="00627EB8" w:rsidRDefault="00627EB8" w:rsidP="00627EB8">
      <w:r>
        <w:rPr>
          <w:i/>
        </w:rPr>
        <w:t xml:space="preserve">3: </w:t>
      </w:r>
      <w:r>
        <w:t xml:space="preserve">Three reviews, due on </w:t>
      </w:r>
      <w:r>
        <w:rPr>
          <w:b/>
          <w:i/>
        </w:rPr>
        <w:t>February 2, Feb 23</w:t>
      </w:r>
      <w:proofErr w:type="gramStart"/>
      <w:r>
        <w:rPr>
          <w:b/>
          <w:i/>
        </w:rPr>
        <w:t xml:space="preserve">, </w:t>
      </w:r>
      <w:r>
        <w:t xml:space="preserve"> </w:t>
      </w:r>
      <w:r w:rsidRPr="0043232D">
        <w:rPr>
          <w:b/>
          <w:i/>
        </w:rPr>
        <w:t>April</w:t>
      </w:r>
      <w:proofErr w:type="gramEnd"/>
      <w:r>
        <w:rPr>
          <w:b/>
          <w:i/>
        </w:rPr>
        <w:t xml:space="preserve"> 6</w:t>
      </w:r>
    </w:p>
    <w:p w:rsidR="00627EB8" w:rsidRPr="001E6758" w:rsidRDefault="00627EB8" w:rsidP="00627EB8">
      <w:r>
        <w:t xml:space="preserve">4. An essay, due </w:t>
      </w:r>
      <w:r w:rsidRPr="001E6758">
        <w:rPr>
          <w:b/>
          <w:i/>
        </w:rPr>
        <w:t>April 20</w:t>
      </w:r>
      <w:r>
        <w:t>.</w:t>
      </w:r>
    </w:p>
    <w:p w:rsidR="00627EB8" w:rsidRDefault="00627EB8" w:rsidP="00627EB8"/>
    <w:p w:rsidR="00571A9D" w:rsidRDefault="00627EB8" w:rsidP="00627EB8">
      <w:pPr>
        <w:suppressAutoHyphens/>
      </w:pPr>
      <w:r w:rsidRPr="00405E61">
        <w:rPr>
          <w:b/>
        </w:rPr>
        <w:t>Research Paper</w:t>
      </w:r>
      <w:r w:rsidRPr="00D6561A">
        <w:t xml:space="preserve"> </w:t>
      </w:r>
      <w:r>
        <w:t xml:space="preserve">should be between 3,000 and 3,500 words exploring a </w:t>
      </w:r>
      <w:r w:rsidRPr="00D6561A">
        <w:t xml:space="preserve">topic </w:t>
      </w:r>
      <w:r>
        <w:t xml:space="preserve">in the general area </w:t>
      </w:r>
      <w:r w:rsidRPr="00D6561A">
        <w:t xml:space="preserve">of </w:t>
      </w:r>
      <w:r>
        <w:t>South African history since 1652. Students decide the specific subject they want to research and write about, but are encouraged to consult with the instructor if they run into difficulties identifying an issue that interests them.</w:t>
      </w:r>
    </w:p>
    <w:p w:rsidR="00627EB8" w:rsidRDefault="00627EB8" w:rsidP="00627EB8">
      <w:pPr>
        <w:suppressAutoHyphens/>
      </w:pPr>
      <w:r>
        <w:lastRenderedPageBreak/>
        <w:t>The essay should be based on about ten “scholarly” works beyond the required material used in this course.  A</w:t>
      </w:r>
      <w:r w:rsidRPr="00D945D4">
        <w:t xml:space="preserve">rticles downloaded from online journals and electronic books are treated as “scholarly,” </w:t>
      </w:r>
      <w:r>
        <w:t xml:space="preserve">but those from the Worldwide Web are not, and are </w:t>
      </w:r>
      <w:r w:rsidRPr="00D945D4">
        <w:t xml:space="preserve">not </w:t>
      </w:r>
      <w:r>
        <w:t xml:space="preserve">therefore permitted to form </w:t>
      </w:r>
      <w:r w:rsidRPr="00D945D4">
        <w:t>part of your bi</w:t>
      </w:r>
      <w:r>
        <w:t xml:space="preserve">bliography. </w:t>
      </w:r>
    </w:p>
    <w:p w:rsidR="00627EB8" w:rsidRDefault="00627EB8" w:rsidP="00627EB8">
      <w:pPr>
        <w:suppressAutoHyphens/>
      </w:pPr>
      <w:r w:rsidRPr="00F40931">
        <w:rPr>
          <w:b/>
        </w:rPr>
        <w:t>200W</w:t>
      </w:r>
      <w:r>
        <w:t xml:space="preserve">: Finally, students taking this course to fulfill their college writing requirement will revise the first and second reviews after getting feedback from the instructor on the original draft. </w:t>
      </w:r>
    </w:p>
    <w:p w:rsidR="00627EB8" w:rsidRDefault="00627EB8" w:rsidP="00627EB8">
      <w:pPr>
        <w:suppressAutoHyphens/>
      </w:pPr>
      <w:r w:rsidRPr="00B93814">
        <w:rPr>
          <w:b/>
        </w:rPr>
        <w:t>Review:</w:t>
      </w:r>
      <w:r>
        <w:t xml:space="preserve">  In a review of a book, article, film, or any other text, you are expected to (1) summarize the main ideas and arguments; (2) and state the relevance of the work to the debate being discussed at that point in the course.</w:t>
      </w:r>
    </w:p>
    <w:p w:rsidR="00627EB8" w:rsidRDefault="00627EB8" w:rsidP="00627EB8">
      <w:pPr>
        <w:suppressAutoHyphens/>
        <w:rPr>
          <w:spacing w:val="-3"/>
        </w:rPr>
      </w:pPr>
      <w:r>
        <w:rPr>
          <w:b/>
        </w:rPr>
        <w:t xml:space="preserve"> </w:t>
      </w:r>
    </w:p>
    <w:p w:rsidR="00627EB8" w:rsidRPr="007E67FC" w:rsidRDefault="00627EB8" w:rsidP="00627EB8">
      <w:pPr>
        <w:suppressAutoHyphens/>
        <w:jc w:val="both"/>
        <w:rPr>
          <w:b/>
          <w:spacing w:val="-3"/>
        </w:rPr>
      </w:pPr>
      <w:r w:rsidRPr="007E67FC">
        <w:rPr>
          <w:b/>
          <w:spacing w:val="-3"/>
        </w:rPr>
        <w:t>Summary: Assignments and Due Dates</w:t>
      </w:r>
    </w:p>
    <w:p w:rsidR="00627EB8" w:rsidRDefault="00627EB8" w:rsidP="00627EB8">
      <w:pPr>
        <w:pStyle w:val="ListParagraph"/>
        <w:numPr>
          <w:ilvl w:val="0"/>
          <w:numId w:val="2"/>
        </w:numPr>
        <w:suppressAutoHyphens/>
        <w:jc w:val="both"/>
      </w:pPr>
      <w:r w:rsidRPr="00453C32">
        <w:rPr>
          <w:i/>
          <w:spacing w:val="-3"/>
        </w:rPr>
        <w:t>Review</w:t>
      </w:r>
      <w:r>
        <w:rPr>
          <w:i/>
          <w:spacing w:val="-3"/>
        </w:rPr>
        <w:t xml:space="preserve">1: February 2 </w:t>
      </w:r>
      <w:r w:rsidRPr="00453C32">
        <w:rPr>
          <w:i/>
          <w:spacing w:val="-3"/>
        </w:rPr>
        <w:t>(</w:t>
      </w:r>
      <w:r>
        <w:t>Omer-Cooper, 1-17)</w:t>
      </w:r>
    </w:p>
    <w:p w:rsidR="00627EB8" w:rsidRDefault="00627EB8" w:rsidP="00627EB8">
      <w:pPr>
        <w:pStyle w:val="ListParagraph"/>
        <w:numPr>
          <w:ilvl w:val="0"/>
          <w:numId w:val="2"/>
        </w:numPr>
        <w:suppressAutoHyphens/>
        <w:jc w:val="both"/>
      </w:pPr>
      <w:r w:rsidRPr="009946BC">
        <w:rPr>
          <w:i/>
          <w:spacing w:val="-3"/>
        </w:rPr>
        <w:t xml:space="preserve">Review 2: </w:t>
      </w:r>
      <w:r>
        <w:rPr>
          <w:i/>
          <w:spacing w:val="-3"/>
        </w:rPr>
        <w:t>February 23</w:t>
      </w:r>
      <w:r w:rsidRPr="009946BC">
        <w:rPr>
          <w:i/>
          <w:spacing w:val="-3"/>
        </w:rPr>
        <w:t xml:space="preserve"> </w:t>
      </w:r>
      <w:r w:rsidRPr="009946BC">
        <w:rPr>
          <w:spacing w:val="-3"/>
        </w:rPr>
        <w:t>(</w:t>
      </w:r>
      <w:r>
        <w:t xml:space="preserve"> </w:t>
      </w:r>
      <w:proofErr w:type="spellStart"/>
      <w:r>
        <w:t>Beinart</w:t>
      </w:r>
      <w:proofErr w:type="spellEnd"/>
      <w:r>
        <w:t xml:space="preserve">, 114-169) </w:t>
      </w:r>
    </w:p>
    <w:p w:rsidR="00627EB8" w:rsidRDefault="00627EB8" w:rsidP="00627EB8">
      <w:pPr>
        <w:pStyle w:val="ListParagraph"/>
        <w:numPr>
          <w:ilvl w:val="0"/>
          <w:numId w:val="2"/>
        </w:numPr>
        <w:suppressAutoHyphens/>
        <w:jc w:val="both"/>
      </w:pPr>
      <w:r>
        <w:rPr>
          <w:i/>
          <w:spacing w:val="-3"/>
        </w:rPr>
        <w:t>Review 3: April 6 (</w:t>
      </w:r>
      <w:r>
        <w:rPr>
          <w:spacing w:val="-3"/>
        </w:rPr>
        <w:t>“Gold Widows”)</w:t>
      </w:r>
    </w:p>
    <w:p w:rsidR="00627EB8" w:rsidRDefault="00627EB8" w:rsidP="00627EB8">
      <w:pPr>
        <w:pStyle w:val="ListParagraph"/>
        <w:numPr>
          <w:ilvl w:val="0"/>
          <w:numId w:val="2"/>
        </w:numPr>
        <w:suppressAutoHyphens/>
        <w:jc w:val="both"/>
      </w:pPr>
      <w:r w:rsidRPr="00642088">
        <w:rPr>
          <w:i/>
        </w:rPr>
        <w:t>Workshop: March 21 (</w:t>
      </w:r>
      <w:proofErr w:type="spellStart"/>
      <w:r w:rsidRPr="00445920">
        <w:t>Rampolla</w:t>
      </w:r>
      <w:proofErr w:type="spellEnd"/>
      <w:r w:rsidRPr="00445920">
        <w:t xml:space="preserve">, </w:t>
      </w:r>
      <w:r w:rsidRPr="00642088">
        <w:rPr>
          <w:i/>
        </w:rPr>
        <w:t>Pocket Guide</w:t>
      </w:r>
      <w:r>
        <w:t>, chapter 7)</w:t>
      </w:r>
      <w:r w:rsidRPr="00445920">
        <w:t>.</w:t>
      </w:r>
    </w:p>
    <w:p w:rsidR="00627EB8" w:rsidRPr="00642088" w:rsidRDefault="00627EB8" w:rsidP="00627EB8">
      <w:pPr>
        <w:pStyle w:val="ListParagraph"/>
        <w:numPr>
          <w:ilvl w:val="0"/>
          <w:numId w:val="2"/>
        </w:numPr>
        <w:suppressAutoHyphens/>
        <w:jc w:val="both"/>
      </w:pPr>
      <w:r w:rsidRPr="00642088">
        <w:rPr>
          <w:i/>
          <w:spacing w:val="-3"/>
        </w:rPr>
        <w:t>Essay: April 20</w:t>
      </w:r>
      <w:r>
        <w:rPr>
          <w:i/>
          <w:spacing w:val="-3"/>
        </w:rPr>
        <w:t>.</w:t>
      </w:r>
      <w:r w:rsidRPr="00642088">
        <w:rPr>
          <w:i/>
          <w:spacing w:val="-3"/>
        </w:rPr>
        <w:t xml:space="preserve"> </w:t>
      </w:r>
    </w:p>
    <w:p w:rsidR="00627EB8" w:rsidRDefault="00627EB8" w:rsidP="00627EB8">
      <w:pPr>
        <w:pStyle w:val="ListParagraph"/>
        <w:suppressAutoHyphens/>
        <w:jc w:val="both"/>
        <w:rPr>
          <w:i/>
          <w:spacing w:val="-3"/>
        </w:rPr>
      </w:pPr>
    </w:p>
    <w:p w:rsidR="00627EB8" w:rsidRDefault="00627EB8" w:rsidP="00627EB8">
      <w:pPr>
        <w:suppressAutoHyphens/>
        <w:jc w:val="both"/>
        <w:rPr>
          <w:spacing w:val="-3"/>
        </w:rPr>
      </w:pPr>
      <w:r w:rsidRPr="00733FB1">
        <w:rPr>
          <w:b/>
        </w:rPr>
        <w:t>Grading:</w:t>
      </w:r>
      <w:r>
        <w:t xml:space="preserve"> </w:t>
      </w:r>
      <w:r w:rsidRPr="000541E8">
        <w:rPr>
          <w:spacing w:val="-3"/>
        </w:rPr>
        <w:t xml:space="preserve">Attendance and Participation: </w:t>
      </w:r>
      <w:r w:rsidRPr="000541E8">
        <w:rPr>
          <w:b/>
          <w:spacing w:val="-3"/>
        </w:rPr>
        <w:t>25%</w:t>
      </w:r>
      <w:r>
        <w:rPr>
          <w:spacing w:val="-3"/>
        </w:rPr>
        <w:t xml:space="preserve">; Workshop Exercise, </w:t>
      </w:r>
      <w:r>
        <w:rPr>
          <w:b/>
          <w:spacing w:val="-3"/>
        </w:rPr>
        <w:t>5</w:t>
      </w:r>
      <w:r>
        <w:rPr>
          <w:spacing w:val="-3"/>
        </w:rPr>
        <w:t>%; Three</w:t>
      </w:r>
      <w:r w:rsidRPr="000541E8">
        <w:rPr>
          <w:spacing w:val="-3"/>
        </w:rPr>
        <w:t xml:space="preserve"> Reviews, </w:t>
      </w:r>
      <w:r>
        <w:rPr>
          <w:b/>
          <w:spacing w:val="-3"/>
        </w:rPr>
        <w:t>30</w:t>
      </w:r>
      <w:r w:rsidRPr="000541E8">
        <w:rPr>
          <w:spacing w:val="-3"/>
        </w:rPr>
        <w:t xml:space="preserve">%; Essay, </w:t>
      </w:r>
      <w:r>
        <w:rPr>
          <w:b/>
          <w:spacing w:val="-3"/>
        </w:rPr>
        <w:t>40</w:t>
      </w:r>
      <w:r w:rsidRPr="000541E8">
        <w:rPr>
          <w:spacing w:val="-3"/>
        </w:rPr>
        <w:t>%.</w:t>
      </w:r>
    </w:p>
    <w:p w:rsidR="005410C5" w:rsidRDefault="005410C5" w:rsidP="005410C5">
      <w:pPr>
        <w:suppressAutoHyphens/>
        <w:jc w:val="both"/>
        <w:rPr>
          <w:spacing w:val="-3"/>
        </w:rPr>
      </w:pPr>
    </w:p>
    <w:p w:rsidR="000031A8" w:rsidRDefault="000031A8" w:rsidP="005410C5">
      <w:pPr>
        <w:suppressAutoHyphens/>
        <w:jc w:val="both"/>
      </w:pPr>
      <w:r>
        <w:t xml:space="preserve"> </w:t>
      </w:r>
    </w:p>
    <w:p w:rsidR="00AA365E" w:rsidRDefault="00AA365E" w:rsidP="00157144">
      <w:pPr>
        <w:suppressAutoHyphens/>
        <w:jc w:val="both"/>
        <w:rPr>
          <w:spacing w:val="-3"/>
          <w:sz w:val="32"/>
          <w:szCs w:val="32"/>
        </w:rPr>
      </w:pPr>
    </w:p>
    <w:p w:rsidR="00157144" w:rsidRPr="00571A9D" w:rsidRDefault="00157144" w:rsidP="00157144">
      <w:pPr>
        <w:suppressAutoHyphens/>
        <w:jc w:val="both"/>
        <w:rPr>
          <w:spacing w:val="-3"/>
          <w:sz w:val="40"/>
          <w:szCs w:val="40"/>
        </w:rPr>
      </w:pPr>
      <w:r w:rsidRPr="00571A9D">
        <w:rPr>
          <w:spacing w:val="-3"/>
          <w:sz w:val="40"/>
          <w:szCs w:val="40"/>
        </w:rPr>
        <w:t xml:space="preserve">Course Outline </w:t>
      </w:r>
    </w:p>
    <w:p w:rsidR="00157144" w:rsidRPr="0022460A" w:rsidRDefault="00157144" w:rsidP="00157144">
      <w:pPr>
        <w:suppressAutoHyphens/>
        <w:jc w:val="both"/>
        <w:rPr>
          <w:sz w:val="32"/>
          <w:szCs w:val="32"/>
        </w:rPr>
      </w:pPr>
    </w:p>
    <w:p w:rsidR="00157144" w:rsidRPr="000753C7" w:rsidRDefault="009B7319" w:rsidP="00157144">
      <w:pPr>
        <w:rPr>
          <w:b/>
        </w:rPr>
      </w:pPr>
      <w:r>
        <w:rPr>
          <w:b/>
        </w:rPr>
        <w:t>Jan 12</w:t>
      </w:r>
      <w:r w:rsidR="00157144" w:rsidRPr="000753C7">
        <w:rPr>
          <w:b/>
        </w:rPr>
        <w:t xml:space="preserve">: Objectives and Dimensions of the Course </w:t>
      </w:r>
    </w:p>
    <w:p w:rsidR="00157144" w:rsidRDefault="00157144" w:rsidP="00157144">
      <w:pPr>
        <w:rPr>
          <w:b/>
        </w:rPr>
      </w:pPr>
    </w:p>
    <w:p w:rsidR="00157144" w:rsidRDefault="00020EA5" w:rsidP="00157144">
      <w:pPr>
        <w:rPr>
          <w:sz w:val="32"/>
          <w:szCs w:val="32"/>
        </w:rPr>
      </w:pPr>
      <w:r>
        <w:rPr>
          <w:sz w:val="32"/>
          <w:szCs w:val="32"/>
        </w:rPr>
        <w:t xml:space="preserve">PART I: </w:t>
      </w:r>
      <w:r w:rsidR="00733FB1">
        <w:rPr>
          <w:sz w:val="32"/>
          <w:szCs w:val="32"/>
        </w:rPr>
        <w:t>TOWARD AND AWAY FROM APARTHEID</w:t>
      </w:r>
    </w:p>
    <w:p w:rsidR="00406104" w:rsidRDefault="00406104" w:rsidP="00157144">
      <w:pPr>
        <w:rPr>
          <w:b/>
        </w:rPr>
      </w:pPr>
    </w:p>
    <w:p w:rsidR="00157144" w:rsidRDefault="009B7319" w:rsidP="00157144">
      <w:pPr>
        <w:rPr>
          <w:b/>
        </w:rPr>
      </w:pPr>
      <w:r>
        <w:rPr>
          <w:b/>
        </w:rPr>
        <w:t>Jan 19</w:t>
      </w:r>
      <w:r w:rsidR="00157144" w:rsidRPr="000753C7">
        <w:rPr>
          <w:b/>
        </w:rPr>
        <w:t>: Indig</w:t>
      </w:r>
      <w:r w:rsidR="004134E6">
        <w:rPr>
          <w:b/>
        </w:rPr>
        <w:t>enous Peoples</w:t>
      </w:r>
      <w:r w:rsidR="00157144">
        <w:rPr>
          <w:b/>
        </w:rPr>
        <w:t xml:space="preserve">: The Khoisan </w:t>
      </w:r>
      <w:r w:rsidR="00157144" w:rsidRPr="000753C7">
        <w:rPr>
          <w:b/>
        </w:rPr>
        <w:t xml:space="preserve"> </w:t>
      </w:r>
    </w:p>
    <w:p w:rsidR="00157144" w:rsidRDefault="00157144" w:rsidP="00157144">
      <w:r w:rsidRPr="00CC2816">
        <w:t xml:space="preserve">J. Omer-Cooper, </w:t>
      </w:r>
      <w:r w:rsidRPr="000753C7">
        <w:rPr>
          <w:i/>
        </w:rPr>
        <w:t>History of Southern Africa</w:t>
      </w:r>
      <w:r w:rsidRPr="00CC2816">
        <w:t xml:space="preserve"> (David Ph</w:t>
      </w:r>
      <w:r>
        <w:t xml:space="preserve">ilip, James Currey, Heinemann, </w:t>
      </w:r>
      <w:r w:rsidR="00674A5F">
        <w:t>1997),1-7</w:t>
      </w:r>
      <w:r w:rsidRPr="00CC2816">
        <w:t xml:space="preserve">. </w:t>
      </w:r>
    </w:p>
    <w:p w:rsidR="00B06BBE" w:rsidRDefault="00B06BBE" w:rsidP="00157144"/>
    <w:p w:rsidR="004134E6" w:rsidRDefault="009B7319" w:rsidP="00157144">
      <w:pPr>
        <w:rPr>
          <w:b/>
        </w:rPr>
      </w:pPr>
      <w:r>
        <w:rPr>
          <w:b/>
        </w:rPr>
        <w:t>Jan 24</w:t>
      </w:r>
      <w:r w:rsidR="00157144">
        <w:rPr>
          <w:b/>
        </w:rPr>
        <w:t xml:space="preserve">: </w:t>
      </w:r>
      <w:r w:rsidR="004134E6" w:rsidRPr="000753C7">
        <w:rPr>
          <w:b/>
        </w:rPr>
        <w:t>Indig</w:t>
      </w:r>
      <w:r w:rsidR="004134E6">
        <w:rPr>
          <w:b/>
        </w:rPr>
        <w:t>enous Peoples: The Bantu</w:t>
      </w:r>
    </w:p>
    <w:p w:rsidR="00674A5F" w:rsidRDefault="00D130A8" w:rsidP="00157144">
      <w:r>
        <w:t>Omer-</w:t>
      </w:r>
      <w:r w:rsidR="00674A5F" w:rsidRPr="00CC2816">
        <w:t xml:space="preserve">Cooper, </w:t>
      </w:r>
      <w:r w:rsidR="00674A5F" w:rsidRPr="000753C7">
        <w:rPr>
          <w:i/>
        </w:rPr>
        <w:t>History of Southern Africa</w:t>
      </w:r>
      <w:r w:rsidR="00674A5F">
        <w:t>, 7-16.</w:t>
      </w:r>
    </w:p>
    <w:p w:rsidR="00A20940" w:rsidRPr="00F91E4C" w:rsidRDefault="00A20940" w:rsidP="00A20940">
      <w:pPr>
        <w:rPr>
          <w:b/>
          <w:i/>
        </w:rPr>
      </w:pPr>
      <w:r w:rsidRPr="00F91E4C">
        <w:rPr>
          <w:b/>
          <w:i/>
        </w:rPr>
        <w:t>Review 1</w:t>
      </w:r>
      <w:r w:rsidR="000541E8">
        <w:rPr>
          <w:b/>
          <w:i/>
        </w:rPr>
        <w:t xml:space="preserve"> (</w:t>
      </w:r>
      <w:r w:rsidR="000541E8" w:rsidRPr="000541E8">
        <w:t>Omer-Cooper, 1-16</w:t>
      </w:r>
      <w:r w:rsidR="000541E8">
        <w:rPr>
          <w:b/>
          <w:i/>
        </w:rPr>
        <w:t>)</w:t>
      </w:r>
      <w:r w:rsidRPr="00F91E4C">
        <w:rPr>
          <w:b/>
          <w:i/>
        </w:rPr>
        <w:t xml:space="preserve"> Due Today</w:t>
      </w:r>
    </w:p>
    <w:p w:rsidR="00A20940" w:rsidRDefault="00A20940" w:rsidP="00157144">
      <w:pPr>
        <w:rPr>
          <w:b/>
        </w:rPr>
      </w:pPr>
    </w:p>
    <w:p w:rsidR="00857F92" w:rsidRDefault="00857F92" w:rsidP="00157144">
      <w:pPr>
        <w:rPr>
          <w:b/>
        </w:rPr>
      </w:pPr>
    </w:p>
    <w:p w:rsidR="00567EEC" w:rsidRDefault="009B7319" w:rsidP="00157144">
      <w:pPr>
        <w:rPr>
          <w:b/>
        </w:rPr>
      </w:pPr>
      <w:r>
        <w:rPr>
          <w:b/>
        </w:rPr>
        <w:t>Jan 26</w:t>
      </w:r>
      <w:r w:rsidR="00781118">
        <w:rPr>
          <w:b/>
        </w:rPr>
        <w:t xml:space="preserve">: </w:t>
      </w:r>
      <w:r w:rsidR="00B06BBE">
        <w:rPr>
          <w:b/>
        </w:rPr>
        <w:t>T</w:t>
      </w:r>
      <w:r w:rsidR="00567EEC">
        <w:rPr>
          <w:b/>
        </w:rPr>
        <w:t>he Cape Colony</w:t>
      </w:r>
      <w:r w:rsidR="00A20940">
        <w:rPr>
          <w:b/>
        </w:rPr>
        <w:t xml:space="preserve">: From Dutch to British Rule </w:t>
      </w:r>
    </w:p>
    <w:p w:rsidR="00674A5F" w:rsidRDefault="00F21D48" w:rsidP="00674A5F">
      <w:r>
        <w:t>Omer-</w:t>
      </w:r>
      <w:r w:rsidR="00674A5F" w:rsidRPr="00CC2816">
        <w:t xml:space="preserve">Cooper, </w:t>
      </w:r>
      <w:r w:rsidR="00674A5F" w:rsidRPr="000753C7">
        <w:rPr>
          <w:i/>
        </w:rPr>
        <w:t>History of Southern Africa</w:t>
      </w:r>
      <w:r w:rsidR="00A20940">
        <w:t>, 17-53</w:t>
      </w:r>
    </w:p>
    <w:p w:rsidR="00143A7D" w:rsidRDefault="00143A7D" w:rsidP="00674A5F"/>
    <w:p w:rsidR="00143A7D" w:rsidRPr="00143A7D" w:rsidRDefault="00143A7D" w:rsidP="00674A5F">
      <w:pPr>
        <w:rPr>
          <w:b/>
        </w:rPr>
      </w:pPr>
      <w:r w:rsidRPr="00143A7D">
        <w:rPr>
          <w:b/>
        </w:rPr>
        <w:t>Jan 31 No Class</w:t>
      </w:r>
    </w:p>
    <w:p w:rsidR="00B03C3C" w:rsidRDefault="00B03C3C" w:rsidP="00B03C3C">
      <w:pPr>
        <w:rPr>
          <w:b/>
        </w:rPr>
      </w:pPr>
    </w:p>
    <w:p w:rsidR="00857F92" w:rsidRDefault="00857F92" w:rsidP="00B03C3C">
      <w:pPr>
        <w:rPr>
          <w:b/>
        </w:rPr>
      </w:pPr>
    </w:p>
    <w:p w:rsidR="00F21D48" w:rsidRDefault="008A5B27" w:rsidP="00B03C3C">
      <w:pPr>
        <w:rPr>
          <w:b/>
        </w:rPr>
      </w:pPr>
      <w:r>
        <w:rPr>
          <w:b/>
        </w:rPr>
        <w:lastRenderedPageBreak/>
        <w:t>Feb 2</w:t>
      </w:r>
      <w:r w:rsidR="00B03C3C">
        <w:rPr>
          <w:b/>
        </w:rPr>
        <w:t xml:space="preserve">: </w:t>
      </w:r>
      <w:proofErr w:type="spellStart"/>
      <w:r w:rsidR="000468F4">
        <w:rPr>
          <w:b/>
        </w:rPr>
        <w:t>Shaka</w:t>
      </w:r>
      <w:proofErr w:type="spellEnd"/>
      <w:r w:rsidR="000468F4">
        <w:rPr>
          <w:b/>
        </w:rPr>
        <w:t xml:space="preserve"> </w:t>
      </w:r>
      <w:r w:rsidR="00444364">
        <w:rPr>
          <w:b/>
        </w:rPr>
        <w:t xml:space="preserve">and the </w:t>
      </w:r>
      <w:proofErr w:type="spellStart"/>
      <w:r w:rsidR="00444364">
        <w:rPr>
          <w:b/>
        </w:rPr>
        <w:t>Mfecane</w:t>
      </w:r>
      <w:proofErr w:type="spellEnd"/>
    </w:p>
    <w:p w:rsidR="007A502E" w:rsidRDefault="007A502E" w:rsidP="00B03C3C">
      <w:r>
        <w:t xml:space="preserve">Leonard Thompson, </w:t>
      </w:r>
      <w:proofErr w:type="gramStart"/>
      <w:r w:rsidRPr="00112987">
        <w:rPr>
          <w:i/>
        </w:rPr>
        <w:t>A</w:t>
      </w:r>
      <w:proofErr w:type="gramEnd"/>
      <w:r w:rsidRPr="00112987">
        <w:rPr>
          <w:i/>
        </w:rPr>
        <w:t xml:space="preserve"> History of South Africa</w:t>
      </w:r>
      <w:r>
        <w:t xml:space="preserve"> </w:t>
      </w:r>
      <w:r w:rsidR="00112987">
        <w:t>(Yale University Press, Revised Edition, 1996), 80-87.</w:t>
      </w:r>
    </w:p>
    <w:p w:rsidR="00C43C16" w:rsidRPr="00C43C16" w:rsidRDefault="00C43C16" w:rsidP="00C43C16">
      <w:pPr>
        <w:pStyle w:val="ListParagraph"/>
        <w:numPr>
          <w:ilvl w:val="0"/>
          <w:numId w:val="7"/>
        </w:numPr>
        <w:rPr>
          <w:b/>
          <w:i/>
          <w:sz w:val="32"/>
          <w:szCs w:val="32"/>
        </w:rPr>
      </w:pPr>
      <w:r w:rsidRPr="00C43C16">
        <w:rPr>
          <w:b/>
          <w:i/>
          <w:sz w:val="32"/>
          <w:szCs w:val="32"/>
        </w:rPr>
        <w:t>Review I (Omer-Cooper, 1-17 Due Today</w:t>
      </w:r>
    </w:p>
    <w:p w:rsidR="00444364" w:rsidRDefault="00444364" w:rsidP="00B03C3C">
      <w:pPr>
        <w:rPr>
          <w:b/>
        </w:rPr>
      </w:pPr>
    </w:p>
    <w:p w:rsidR="00B03C3C" w:rsidRDefault="00F21D48" w:rsidP="00B03C3C">
      <w:pPr>
        <w:rPr>
          <w:b/>
        </w:rPr>
      </w:pPr>
      <w:r>
        <w:rPr>
          <w:b/>
        </w:rPr>
        <w:t xml:space="preserve">Feb 7: </w:t>
      </w:r>
      <w:r w:rsidR="007A502E">
        <w:rPr>
          <w:b/>
        </w:rPr>
        <w:t xml:space="preserve"> The Great Trek</w:t>
      </w:r>
    </w:p>
    <w:p w:rsidR="00372662" w:rsidRDefault="00112987" w:rsidP="00157144">
      <w:r w:rsidRPr="00112987">
        <w:t>Philip Curtin</w:t>
      </w:r>
      <w:r>
        <w:t xml:space="preserve">, </w:t>
      </w:r>
      <w:proofErr w:type="gramStart"/>
      <w:r>
        <w:t>et</w:t>
      </w:r>
      <w:proofErr w:type="gramEnd"/>
      <w:r>
        <w:t xml:space="preserve">. </w:t>
      </w:r>
      <w:proofErr w:type="gramStart"/>
      <w:r>
        <w:t>alia</w:t>
      </w:r>
      <w:proofErr w:type="gramEnd"/>
      <w:r>
        <w:t xml:space="preserve">, </w:t>
      </w:r>
      <w:r w:rsidRPr="00B41100">
        <w:rPr>
          <w:i/>
        </w:rPr>
        <w:t>African History From Earliest Times to Independence</w:t>
      </w:r>
      <w:r>
        <w:t xml:space="preserve"> (</w:t>
      </w:r>
      <w:r w:rsidR="00B41100">
        <w:t>Longman, 2</w:t>
      </w:r>
      <w:r w:rsidR="00B41100" w:rsidRPr="00B41100">
        <w:rPr>
          <w:vertAlign w:val="superscript"/>
        </w:rPr>
        <w:t>nd</w:t>
      </w:r>
      <w:r w:rsidR="00B41100">
        <w:t xml:space="preserve"> Edition [1978], 1995), 280-287.</w:t>
      </w:r>
    </w:p>
    <w:p w:rsidR="00857F92" w:rsidRDefault="00857F92" w:rsidP="00157144"/>
    <w:p w:rsidR="00161654" w:rsidRDefault="000344F7" w:rsidP="00857F92">
      <w:pPr>
        <w:pStyle w:val="Heading2"/>
        <w:spacing w:before="0" w:beforeAutospacing="0" w:after="0" w:afterAutospacing="0"/>
        <w:rPr>
          <w:sz w:val="24"/>
          <w:szCs w:val="24"/>
        </w:rPr>
      </w:pPr>
      <w:r w:rsidRPr="00161654">
        <w:rPr>
          <w:sz w:val="24"/>
          <w:szCs w:val="24"/>
        </w:rPr>
        <w:t>Feb 9</w:t>
      </w:r>
      <w:r w:rsidR="00157144" w:rsidRPr="00161654">
        <w:rPr>
          <w:sz w:val="24"/>
          <w:szCs w:val="24"/>
        </w:rPr>
        <w:t xml:space="preserve">: </w:t>
      </w:r>
      <w:r w:rsidR="00161654">
        <w:rPr>
          <w:sz w:val="24"/>
          <w:szCs w:val="24"/>
        </w:rPr>
        <w:t xml:space="preserve"> The </w:t>
      </w:r>
      <w:r w:rsidR="00730ACC" w:rsidRPr="00161654">
        <w:rPr>
          <w:sz w:val="24"/>
          <w:szCs w:val="24"/>
        </w:rPr>
        <w:t xml:space="preserve">Battle of </w:t>
      </w:r>
      <w:proofErr w:type="spellStart"/>
      <w:r w:rsidR="00730ACC" w:rsidRPr="00161654">
        <w:rPr>
          <w:sz w:val="24"/>
          <w:szCs w:val="24"/>
        </w:rPr>
        <w:t>Isandlwana</w:t>
      </w:r>
      <w:proofErr w:type="spellEnd"/>
      <w:r w:rsidR="00161654">
        <w:rPr>
          <w:b w:val="0"/>
          <w:sz w:val="24"/>
          <w:szCs w:val="24"/>
        </w:rPr>
        <w:t>,</w:t>
      </w:r>
      <w:r w:rsidR="00AD535A" w:rsidRPr="00161654">
        <w:rPr>
          <w:sz w:val="24"/>
          <w:szCs w:val="24"/>
        </w:rPr>
        <w:t xml:space="preserve"> 1879</w:t>
      </w:r>
    </w:p>
    <w:p w:rsidR="00E61E92" w:rsidRPr="00161654" w:rsidRDefault="00AD535A" w:rsidP="00857F92">
      <w:pPr>
        <w:pStyle w:val="Heading2"/>
        <w:numPr>
          <w:ilvl w:val="0"/>
          <w:numId w:val="6"/>
        </w:numPr>
        <w:spacing w:before="0" w:beforeAutospacing="0" w:after="0" w:afterAutospacing="0"/>
        <w:rPr>
          <w:sz w:val="24"/>
          <w:szCs w:val="24"/>
        </w:rPr>
      </w:pPr>
      <w:r w:rsidRPr="00161654">
        <w:rPr>
          <w:b w:val="0"/>
          <w:sz w:val="24"/>
          <w:szCs w:val="24"/>
        </w:rPr>
        <w:t>Colin Webb, “Great Britain and the Zulu People 1879-</w:t>
      </w:r>
      <w:r w:rsidR="009946BC" w:rsidRPr="00161654">
        <w:rPr>
          <w:b w:val="0"/>
          <w:sz w:val="24"/>
          <w:szCs w:val="24"/>
        </w:rPr>
        <w:t>1</w:t>
      </w:r>
      <w:r w:rsidRPr="00161654">
        <w:rPr>
          <w:b w:val="0"/>
          <w:sz w:val="24"/>
          <w:szCs w:val="24"/>
        </w:rPr>
        <w:t xml:space="preserve">887,” in </w:t>
      </w:r>
      <w:r w:rsidRPr="00161654">
        <w:rPr>
          <w:b w:val="0"/>
          <w:i/>
          <w:sz w:val="24"/>
          <w:szCs w:val="24"/>
        </w:rPr>
        <w:t>African Societies in Southern Africa: Historical Studies</w:t>
      </w:r>
      <w:r w:rsidRPr="00161654">
        <w:rPr>
          <w:b w:val="0"/>
          <w:sz w:val="24"/>
          <w:szCs w:val="24"/>
        </w:rPr>
        <w:t>, “</w:t>
      </w:r>
      <w:r w:rsidR="00E61E92" w:rsidRPr="00161654">
        <w:rPr>
          <w:b w:val="0"/>
          <w:sz w:val="24"/>
          <w:szCs w:val="24"/>
        </w:rPr>
        <w:t xml:space="preserve">ed. L. Thompson (NY &amp; Washington, </w:t>
      </w:r>
      <w:proofErr w:type="spellStart"/>
      <w:r w:rsidR="00E61E92" w:rsidRPr="00161654">
        <w:rPr>
          <w:b w:val="0"/>
          <w:sz w:val="24"/>
          <w:szCs w:val="24"/>
        </w:rPr>
        <w:t>Praeger</w:t>
      </w:r>
      <w:proofErr w:type="spellEnd"/>
      <w:r w:rsidR="00E61E92" w:rsidRPr="00161654">
        <w:rPr>
          <w:b w:val="0"/>
          <w:sz w:val="24"/>
          <w:szCs w:val="24"/>
        </w:rPr>
        <w:t xml:space="preserve">, 1969): 302-323. </w:t>
      </w:r>
    </w:p>
    <w:p w:rsidR="000344F7" w:rsidRPr="005B79AA" w:rsidRDefault="000344F7" w:rsidP="000344F7">
      <w:pPr>
        <w:pStyle w:val="ListParagraph"/>
        <w:numPr>
          <w:ilvl w:val="0"/>
          <w:numId w:val="2"/>
        </w:numPr>
      </w:pPr>
      <w:r>
        <w:t>Video</w:t>
      </w:r>
      <w:r w:rsidR="00372662">
        <w:t xml:space="preserve"> 1</w:t>
      </w:r>
      <w:r>
        <w:t>: Day of the Zulu (60 minutes)</w:t>
      </w:r>
    </w:p>
    <w:p w:rsidR="008A5B27" w:rsidRDefault="008A5B27" w:rsidP="00157144">
      <w:pPr>
        <w:rPr>
          <w:b/>
        </w:rPr>
      </w:pPr>
    </w:p>
    <w:p w:rsidR="008A5B27" w:rsidRDefault="000344F7" w:rsidP="008A5B27">
      <w:pPr>
        <w:rPr>
          <w:b/>
        </w:rPr>
      </w:pPr>
      <w:r>
        <w:rPr>
          <w:b/>
        </w:rPr>
        <w:t>Feb 14</w:t>
      </w:r>
      <w:r w:rsidR="008A5B27">
        <w:rPr>
          <w:b/>
        </w:rPr>
        <w:t xml:space="preserve">:  </w:t>
      </w:r>
      <w:r w:rsidR="000468F4">
        <w:rPr>
          <w:b/>
        </w:rPr>
        <w:t xml:space="preserve">Instituting </w:t>
      </w:r>
      <w:r w:rsidR="008A5B27">
        <w:rPr>
          <w:b/>
        </w:rPr>
        <w:t>Segregation</w:t>
      </w:r>
    </w:p>
    <w:p w:rsidR="008A5B27" w:rsidRDefault="008A5B27" w:rsidP="008A5B27">
      <w:r>
        <w:t xml:space="preserve">William </w:t>
      </w:r>
      <w:proofErr w:type="spellStart"/>
      <w:r>
        <w:t>Beinart</w:t>
      </w:r>
      <w:proofErr w:type="spellEnd"/>
      <w:r>
        <w:t xml:space="preserve">, </w:t>
      </w:r>
      <w:r w:rsidRPr="00D675AD">
        <w:rPr>
          <w:i/>
        </w:rPr>
        <w:t>Twentieth-century South Africa</w:t>
      </w:r>
      <w:r>
        <w:t xml:space="preserve"> (Oxford, New York: Oxford University Press, </w:t>
      </w:r>
      <w:r w:rsidRPr="00D93BF5">
        <w:t>2001</w:t>
      </w:r>
      <w:r>
        <w:t xml:space="preserve"> [1994]), 88-113.</w:t>
      </w:r>
    </w:p>
    <w:p w:rsidR="008A5B27" w:rsidRDefault="008A5B27" w:rsidP="008A5B27"/>
    <w:p w:rsidR="005B79AA" w:rsidRPr="00D317E9" w:rsidRDefault="008A5B27" w:rsidP="005B79AA">
      <w:r w:rsidRPr="005B79AA">
        <w:rPr>
          <w:b/>
        </w:rPr>
        <w:t xml:space="preserve">Feb </w:t>
      </w:r>
      <w:r w:rsidR="000344F7">
        <w:rPr>
          <w:b/>
        </w:rPr>
        <w:t>16</w:t>
      </w:r>
      <w:r w:rsidR="005B79AA" w:rsidRPr="005B79AA">
        <w:rPr>
          <w:b/>
        </w:rPr>
        <w:t>:</w:t>
      </w:r>
      <w:r w:rsidR="005B79AA">
        <w:t xml:space="preserve"> </w:t>
      </w:r>
      <w:r w:rsidR="000468F4">
        <w:rPr>
          <w:b/>
        </w:rPr>
        <w:t xml:space="preserve"> </w:t>
      </w:r>
      <w:r w:rsidR="00857F92">
        <w:rPr>
          <w:b/>
        </w:rPr>
        <w:t>Fight</w:t>
      </w:r>
      <w:r w:rsidR="000468F4">
        <w:rPr>
          <w:b/>
        </w:rPr>
        <w:t>ing</w:t>
      </w:r>
      <w:r w:rsidR="00D130A8">
        <w:rPr>
          <w:b/>
        </w:rPr>
        <w:t xml:space="preserve"> Segregation</w:t>
      </w:r>
    </w:p>
    <w:p w:rsidR="005B79AA" w:rsidRDefault="00B87C9B" w:rsidP="005B79AA">
      <w:pPr>
        <w:jc w:val="both"/>
      </w:pPr>
      <w:r>
        <w:t>Video</w:t>
      </w:r>
      <w:r w:rsidR="00372662">
        <w:t xml:space="preserve"> 2</w:t>
      </w:r>
      <w:r>
        <w:t>: “Generation of Resistance” (54 minutes)</w:t>
      </w:r>
    </w:p>
    <w:p w:rsidR="008A5B27" w:rsidRDefault="008A5B27" w:rsidP="008A5B27"/>
    <w:p w:rsidR="00D317E9" w:rsidRDefault="003714B3" w:rsidP="000344F7">
      <w:pPr>
        <w:rPr>
          <w:b/>
        </w:rPr>
      </w:pPr>
      <w:r>
        <w:rPr>
          <w:b/>
        </w:rPr>
        <w:t xml:space="preserve">Feb 21: </w:t>
      </w:r>
      <w:r w:rsidR="00B87C9B">
        <w:rPr>
          <w:b/>
        </w:rPr>
        <w:t xml:space="preserve">Rise of Apartheid </w:t>
      </w:r>
    </w:p>
    <w:p w:rsidR="00B87C9B" w:rsidRDefault="00B87C9B" w:rsidP="000344F7">
      <w:proofErr w:type="spellStart"/>
      <w:r>
        <w:t>Beinart</w:t>
      </w:r>
      <w:proofErr w:type="spellEnd"/>
      <w:r>
        <w:t xml:space="preserve">, </w:t>
      </w:r>
      <w:r w:rsidRPr="00970C42">
        <w:rPr>
          <w:i/>
        </w:rPr>
        <w:t>Twentieth-Century South Africa</w:t>
      </w:r>
      <w:r>
        <w:t>,</w:t>
      </w:r>
      <w:r w:rsidR="00373BDB">
        <w:t xml:space="preserve"> 114-169.</w:t>
      </w:r>
    </w:p>
    <w:p w:rsidR="00D317E9" w:rsidRDefault="00D317E9" w:rsidP="00D317E9">
      <w:pPr>
        <w:rPr>
          <w:b/>
        </w:rPr>
      </w:pPr>
    </w:p>
    <w:p w:rsidR="007B0C69" w:rsidRDefault="003714B3" w:rsidP="00157144">
      <w:pPr>
        <w:rPr>
          <w:b/>
        </w:rPr>
      </w:pPr>
      <w:r w:rsidRPr="003714B3">
        <w:rPr>
          <w:b/>
        </w:rPr>
        <w:t>Feb 23</w:t>
      </w:r>
      <w:r w:rsidR="007B0C69" w:rsidRPr="003714B3">
        <w:rPr>
          <w:b/>
        </w:rPr>
        <w:t>:</w:t>
      </w:r>
      <w:r w:rsidR="003C22ED">
        <w:rPr>
          <w:b/>
        </w:rPr>
        <w:t xml:space="preserve">  </w:t>
      </w:r>
      <w:r w:rsidR="00857F92">
        <w:rPr>
          <w:b/>
        </w:rPr>
        <w:t xml:space="preserve">Popular Opposition against </w:t>
      </w:r>
      <w:r w:rsidR="00D317E9">
        <w:rPr>
          <w:b/>
        </w:rPr>
        <w:t>Apartheid</w:t>
      </w:r>
    </w:p>
    <w:p w:rsidR="00813D34" w:rsidRDefault="00813D34" w:rsidP="00813D34">
      <w:proofErr w:type="spellStart"/>
      <w:r>
        <w:t>Beinart</w:t>
      </w:r>
      <w:proofErr w:type="spellEnd"/>
      <w:r>
        <w:t xml:space="preserve">, </w:t>
      </w:r>
      <w:r w:rsidRPr="00970C42">
        <w:rPr>
          <w:i/>
        </w:rPr>
        <w:t>Twentieth-Century South Africa</w:t>
      </w:r>
      <w:r w:rsidR="005E6772">
        <w:t xml:space="preserve">, </w:t>
      </w:r>
      <w:r w:rsidR="00D317E9">
        <w:t>228-253</w:t>
      </w:r>
    </w:p>
    <w:p w:rsidR="00C43C16" w:rsidRPr="00C43C16" w:rsidRDefault="00C43C16" w:rsidP="00C43C16">
      <w:pPr>
        <w:pStyle w:val="ListParagraph"/>
        <w:numPr>
          <w:ilvl w:val="0"/>
          <w:numId w:val="7"/>
        </w:numPr>
        <w:rPr>
          <w:b/>
          <w:i/>
          <w:sz w:val="32"/>
          <w:szCs w:val="32"/>
        </w:rPr>
      </w:pPr>
      <w:r w:rsidRPr="00C43C16">
        <w:rPr>
          <w:b/>
          <w:i/>
          <w:sz w:val="32"/>
          <w:szCs w:val="32"/>
        </w:rPr>
        <w:t>Review 2  (</w:t>
      </w:r>
      <w:proofErr w:type="spellStart"/>
      <w:r w:rsidRPr="00C43C16">
        <w:rPr>
          <w:b/>
          <w:i/>
          <w:sz w:val="32"/>
          <w:szCs w:val="32"/>
        </w:rPr>
        <w:t>Beinart</w:t>
      </w:r>
      <w:proofErr w:type="spellEnd"/>
      <w:r w:rsidRPr="00C43C16">
        <w:rPr>
          <w:b/>
          <w:i/>
          <w:sz w:val="32"/>
          <w:szCs w:val="32"/>
        </w:rPr>
        <w:t>, 114-169) Due Today</w:t>
      </w:r>
    </w:p>
    <w:p w:rsidR="00373BDB" w:rsidRDefault="00373BDB" w:rsidP="00813D34"/>
    <w:p w:rsidR="00373BDB" w:rsidRDefault="00FA2861" w:rsidP="00813D34">
      <w:r>
        <w:rPr>
          <w:b/>
        </w:rPr>
        <w:t>Feb 28</w:t>
      </w:r>
      <w:r w:rsidR="00373BDB" w:rsidRPr="003714B3">
        <w:rPr>
          <w:b/>
        </w:rPr>
        <w:t>:</w:t>
      </w:r>
      <w:r w:rsidR="00857F92">
        <w:rPr>
          <w:b/>
        </w:rPr>
        <w:t xml:space="preserve"> The ANC and</w:t>
      </w:r>
      <w:r w:rsidR="00373BDB">
        <w:rPr>
          <w:b/>
        </w:rPr>
        <w:t xml:space="preserve"> Apartheid</w:t>
      </w:r>
    </w:p>
    <w:p w:rsidR="00C2059A" w:rsidRDefault="00C2059A" w:rsidP="00C2059A">
      <w:r>
        <w:t>Video 3: “Spear of the Nation:” (1986, 52 minutes)</w:t>
      </w:r>
    </w:p>
    <w:p w:rsidR="00C2059A" w:rsidRDefault="00C2059A" w:rsidP="00813D34"/>
    <w:p w:rsidR="003714B3" w:rsidRDefault="00FA2861" w:rsidP="00813D34">
      <w:pPr>
        <w:rPr>
          <w:b/>
        </w:rPr>
      </w:pPr>
      <w:r>
        <w:rPr>
          <w:b/>
        </w:rPr>
        <w:t>March 2</w:t>
      </w:r>
      <w:r w:rsidR="003C22ED">
        <w:rPr>
          <w:b/>
        </w:rPr>
        <w:t xml:space="preserve">: Cuba’s </w:t>
      </w:r>
      <w:r w:rsidR="007C36D6">
        <w:rPr>
          <w:b/>
        </w:rPr>
        <w:t>Military Intervention</w:t>
      </w:r>
    </w:p>
    <w:p w:rsidR="00075AF4" w:rsidRDefault="00776076" w:rsidP="00776076">
      <w:pPr>
        <w:rPr>
          <w:b/>
        </w:rPr>
      </w:pPr>
      <w:r>
        <w:t xml:space="preserve">Video 4: “Cuba: An African Odyssey,” Part II, Chapter 2 (60 Minutes) </w:t>
      </w:r>
    </w:p>
    <w:p w:rsidR="00075AF4" w:rsidRPr="00075AF4" w:rsidRDefault="00075AF4" w:rsidP="00075AF4">
      <w:pPr>
        <w:rPr>
          <w:b/>
        </w:rPr>
      </w:pPr>
    </w:p>
    <w:p w:rsidR="00AA365E" w:rsidRPr="00AA365E" w:rsidRDefault="00AA365E" w:rsidP="00AA365E">
      <w:pPr>
        <w:rPr>
          <w:sz w:val="32"/>
          <w:szCs w:val="32"/>
        </w:rPr>
      </w:pPr>
      <w:r>
        <w:rPr>
          <w:sz w:val="32"/>
          <w:szCs w:val="32"/>
        </w:rPr>
        <w:t>Spring Break: No Classes on M</w:t>
      </w:r>
      <w:r w:rsidRPr="00AA365E">
        <w:rPr>
          <w:sz w:val="32"/>
          <w:szCs w:val="32"/>
        </w:rPr>
        <w:t>arch 7, 9</w:t>
      </w:r>
    </w:p>
    <w:p w:rsidR="00AA365E" w:rsidRPr="00AA365E" w:rsidRDefault="00AA365E" w:rsidP="00AA365E">
      <w:pPr>
        <w:rPr>
          <w:sz w:val="32"/>
          <w:szCs w:val="32"/>
        </w:rPr>
      </w:pPr>
    </w:p>
    <w:p w:rsidR="00AA365E" w:rsidRDefault="00FA2861" w:rsidP="00D7219B">
      <w:pPr>
        <w:rPr>
          <w:b/>
        </w:rPr>
      </w:pPr>
      <w:r>
        <w:rPr>
          <w:b/>
        </w:rPr>
        <w:t>March 14</w:t>
      </w:r>
      <w:r w:rsidR="00D7219B" w:rsidRPr="00D7219B">
        <w:rPr>
          <w:b/>
        </w:rPr>
        <w:t>:  The End of Apartheid</w:t>
      </w:r>
    </w:p>
    <w:p w:rsidR="00D7219B" w:rsidRPr="00AA365E" w:rsidRDefault="00D7219B" w:rsidP="00D7219B">
      <w:pPr>
        <w:rPr>
          <w:b/>
        </w:rPr>
      </w:pPr>
      <w:proofErr w:type="spellStart"/>
      <w:r>
        <w:t>Beinart</w:t>
      </w:r>
      <w:proofErr w:type="spellEnd"/>
      <w:r>
        <w:t xml:space="preserve">, </w:t>
      </w:r>
      <w:r w:rsidRPr="00970C42">
        <w:rPr>
          <w:i/>
        </w:rPr>
        <w:t>Twentieth-Century South Africa</w:t>
      </w:r>
      <w:r>
        <w:t xml:space="preserve">, </w:t>
      </w:r>
      <w:r w:rsidRPr="00C75333">
        <w:t>254-285</w:t>
      </w:r>
    </w:p>
    <w:p w:rsidR="00FA2861" w:rsidRDefault="00FA2861" w:rsidP="00D7219B"/>
    <w:p w:rsidR="00FA2861" w:rsidRDefault="00FA2861" w:rsidP="00D7219B"/>
    <w:p w:rsidR="00D7219B" w:rsidRDefault="00D7219B" w:rsidP="00813D34">
      <w:pPr>
        <w:rPr>
          <w:b/>
        </w:rPr>
      </w:pPr>
    </w:p>
    <w:p w:rsidR="000077BE" w:rsidRPr="00050C62" w:rsidRDefault="000077BE" w:rsidP="000077BE">
      <w:pPr>
        <w:rPr>
          <w:sz w:val="32"/>
          <w:szCs w:val="32"/>
        </w:rPr>
      </w:pPr>
      <w:r w:rsidRPr="00050C62">
        <w:rPr>
          <w:sz w:val="32"/>
          <w:szCs w:val="32"/>
        </w:rPr>
        <w:t>P</w:t>
      </w:r>
      <w:r>
        <w:rPr>
          <w:sz w:val="32"/>
          <w:szCs w:val="32"/>
        </w:rPr>
        <w:t xml:space="preserve">ART II: RESEARCHING </w:t>
      </w:r>
      <w:r w:rsidRPr="00050C62">
        <w:rPr>
          <w:sz w:val="32"/>
          <w:szCs w:val="32"/>
        </w:rPr>
        <w:t>THE HISTORY OF APARTHEID</w:t>
      </w:r>
    </w:p>
    <w:p w:rsidR="000077BE" w:rsidRDefault="000077BE" w:rsidP="000077BE"/>
    <w:p w:rsidR="004D5CF0" w:rsidRPr="00445920" w:rsidRDefault="000D1053" w:rsidP="004D5CF0">
      <w:pPr>
        <w:rPr>
          <w:b/>
        </w:rPr>
      </w:pPr>
      <w:r>
        <w:rPr>
          <w:b/>
        </w:rPr>
        <w:t>March 16</w:t>
      </w:r>
      <w:r w:rsidR="000077BE" w:rsidRPr="00E24501">
        <w:rPr>
          <w:b/>
        </w:rPr>
        <w:t>:</w:t>
      </w:r>
      <w:r w:rsidR="004D5CF0">
        <w:rPr>
          <w:b/>
        </w:rPr>
        <w:t xml:space="preserve"> </w:t>
      </w:r>
      <w:r w:rsidR="004D5CF0" w:rsidRPr="00095C36">
        <w:rPr>
          <w:b/>
        </w:rPr>
        <w:t>Quoting</w:t>
      </w:r>
      <w:r w:rsidR="004D5CF0" w:rsidRPr="00445920">
        <w:rPr>
          <w:b/>
        </w:rPr>
        <w:t xml:space="preserve"> and Documenting Sources</w:t>
      </w:r>
    </w:p>
    <w:p w:rsidR="004D5CF0" w:rsidRDefault="004D5CF0" w:rsidP="004D5CF0">
      <w:proofErr w:type="spellStart"/>
      <w:proofErr w:type="gramStart"/>
      <w:r w:rsidRPr="00445920">
        <w:t>Rampolla</w:t>
      </w:r>
      <w:proofErr w:type="spellEnd"/>
      <w:r w:rsidRPr="00445920">
        <w:t xml:space="preserve">, </w:t>
      </w:r>
      <w:r w:rsidRPr="00445920">
        <w:rPr>
          <w:i/>
        </w:rPr>
        <w:t>Po</w:t>
      </w:r>
      <w:r>
        <w:rPr>
          <w:i/>
        </w:rPr>
        <w:t>cket Guide</w:t>
      </w:r>
      <w:r w:rsidR="003C22ED">
        <w:t>, chapter</w:t>
      </w:r>
      <w:r>
        <w:t xml:space="preserve"> 7</w:t>
      </w:r>
      <w:r w:rsidRPr="00445920">
        <w:t>.</w:t>
      </w:r>
      <w:proofErr w:type="gramEnd"/>
    </w:p>
    <w:p w:rsidR="006F4463" w:rsidRDefault="006F4463" w:rsidP="000077BE">
      <w:pPr>
        <w:rPr>
          <w:b/>
        </w:rPr>
      </w:pPr>
    </w:p>
    <w:p w:rsidR="006F4463" w:rsidRDefault="006F4463" w:rsidP="000077BE">
      <w:pPr>
        <w:rPr>
          <w:b/>
        </w:rPr>
      </w:pPr>
    </w:p>
    <w:p w:rsidR="000077BE" w:rsidRPr="004A77B1" w:rsidRDefault="006F4463" w:rsidP="000077BE">
      <w:r>
        <w:rPr>
          <w:b/>
        </w:rPr>
        <w:t xml:space="preserve">March 21: </w:t>
      </w:r>
      <w:r w:rsidR="000077BE" w:rsidRPr="00E24501">
        <w:rPr>
          <w:b/>
        </w:rPr>
        <w:t xml:space="preserve"> Finding and Using Sources: A Library Tour</w:t>
      </w:r>
      <w:r w:rsidR="004A77B1">
        <w:rPr>
          <w:b/>
        </w:rPr>
        <w:t xml:space="preserve">  </w:t>
      </w:r>
    </w:p>
    <w:p w:rsidR="000077BE" w:rsidRDefault="00542D0F" w:rsidP="000077BE">
      <w:proofErr w:type="gramStart"/>
      <w:r>
        <w:t xml:space="preserve">M. L. </w:t>
      </w:r>
      <w:proofErr w:type="spellStart"/>
      <w:r>
        <w:t>Rampolla</w:t>
      </w:r>
      <w:proofErr w:type="spellEnd"/>
      <w:r w:rsidRPr="00A71F8E">
        <w:t xml:space="preserve">, </w:t>
      </w:r>
      <w:r w:rsidRPr="00A71F8E">
        <w:rPr>
          <w:i/>
        </w:rPr>
        <w:t>A Pocket Guide to Writing in History</w:t>
      </w:r>
      <w:r>
        <w:rPr>
          <w:i/>
        </w:rPr>
        <w:t xml:space="preserve"> </w:t>
      </w:r>
      <w:r w:rsidRPr="00542D0F">
        <w:t>(</w:t>
      </w:r>
      <w:r>
        <w:t xml:space="preserve">Bedford/St. Martin’s, Boston/New York, 2012 [2004]), </w:t>
      </w:r>
      <w:r w:rsidR="003F2DD8">
        <w:t>chapters 1, 2.</w:t>
      </w:r>
      <w:proofErr w:type="gramEnd"/>
    </w:p>
    <w:p w:rsidR="00C43C16" w:rsidRPr="005836B6" w:rsidRDefault="00C43C16" w:rsidP="00C43C16">
      <w:pPr>
        <w:pStyle w:val="ListParagraph"/>
        <w:numPr>
          <w:ilvl w:val="0"/>
          <w:numId w:val="7"/>
        </w:numPr>
        <w:rPr>
          <w:b/>
          <w:i/>
          <w:sz w:val="32"/>
          <w:szCs w:val="32"/>
        </w:rPr>
      </w:pPr>
      <w:r w:rsidRPr="005836B6">
        <w:rPr>
          <w:b/>
          <w:i/>
          <w:sz w:val="32"/>
          <w:szCs w:val="32"/>
        </w:rPr>
        <w:t>Workshop (</w:t>
      </w:r>
      <w:proofErr w:type="spellStart"/>
      <w:r w:rsidR="005836B6" w:rsidRPr="005836B6">
        <w:rPr>
          <w:b/>
          <w:i/>
          <w:sz w:val="32"/>
          <w:szCs w:val="32"/>
        </w:rPr>
        <w:t>Rampolla</w:t>
      </w:r>
      <w:proofErr w:type="spellEnd"/>
      <w:r w:rsidR="005836B6" w:rsidRPr="005836B6">
        <w:rPr>
          <w:b/>
          <w:i/>
          <w:sz w:val="32"/>
          <w:szCs w:val="32"/>
        </w:rPr>
        <w:t>, Chapter 7) Due Today</w:t>
      </w:r>
    </w:p>
    <w:p w:rsidR="004A77B1" w:rsidRPr="005836B6" w:rsidRDefault="004A77B1" w:rsidP="000077BE">
      <w:pPr>
        <w:rPr>
          <w:b/>
          <w:i/>
          <w:sz w:val="32"/>
          <w:szCs w:val="32"/>
        </w:rPr>
      </w:pPr>
    </w:p>
    <w:p w:rsidR="000077BE" w:rsidRPr="00A71F8E" w:rsidRDefault="000D1053" w:rsidP="000077BE">
      <w:pPr>
        <w:rPr>
          <w:b/>
        </w:rPr>
      </w:pPr>
      <w:r>
        <w:rPr>
          <w:b/>
        </w:rPr>
        <w:t>March 2</w:t>
      </w:r>
      <w:r w:rsidR="006F4463">
        <w:rPr>
          <w:b/>
        </w:rPr>
        <w:t>3</w:t>
      </w:r>
      <w:r w:rsidR="000077BE" w:rsidRPr="00095C36">
        <w:rPr>
          <w:b/>
        </w:rPr>
        <w:t>:</w:t>
      </w:r>
      <w:r w:rsidR="000077BE" w:rsidRPr="00A71F8E">
        <w:rPr>
          <w:b/>
        </w:rPr>
        <w:t xml:space="preserve"> Reading and Writing in History</w:t>
      </w:r>
    </w:p>
    <w:p w:rsidR="000077BE" w:rsidRPr="00517236" w:rsidRDefault="000077BE" w:rsidP="000077BE">
      <w:proofErr w:type="spellStart"/>
      <w:r w:rsidRPr="00A71F8E">
        <w:t>Rampolla</w:t>
      </w:r>
      <w:proofErr w:type="spellEnd"/>
      <w:r w:rsidRPr="00A71F8E">
        <w:t xml:space="preserve">, </w:t>
      </w:r>
      <w:r w:rsidRPr="00A71F8E">
        <w:rPr>
          <w:i/>
        </w:rPr>
        <w:t>Pocket Guide</w:t>
      </w:r>
      <w:proofErr w:type="gramStart"/>
      <w:r w:rsidR="00542D0F">
        <w:t xml:space="preserve">, </w:t>
      </w:r>
      <w:r w:rsidR="003F2DD8">
        <w:t xml:space="preserve"> chapters</w:t>
      </w:r>
      <w:proofErr w:type="gramEnd"/>
      <w:r w:rsidR="003F2DD8">
        <w:t xml:space="preserve"> 3, 4.</w:t>
      </w:r>
    </w:p>
    <w:p w:rsidR="000077BE" w:rsidRDefault="000077BE" w:rsidP="000077BE">
      <w:pPr>
        <w:rPr>
          <w:b/>
          <w:i/>
        </w:rPr>
      </w:pPr>
    </w:p>
    <w:p w:rsidR="000077BE" w:rsidRPr="00E24501" w:rsidRDefault="006F4463" w:rsidP="000077BE">
      <w:pPr>
        <w:rPr>
          <w:b/>
        </w:rPr>
      </w:pPr>
      <w:r>
        <w:rPr>
          <w:b/>
        </w:rPr>
        <w:t>March 28</w:t>
      </w:r>
      <w:r w:rsidR="000077BE" w:rsidRPr="00E24501">
        <w:rPr>
          <w:b/>
        </w:rPr>
        <w:t>: Plagiarism</w:t>
      </w:r>
    </w:p>
    <w:p w:rsidR="000077BE" w:rsidRPr="00EB45DE" w:rsidRDefault="000077BE" w:rsidP="006F4463">
      <w:pPr>
        <w:rPr>
          <w:b/>
          <w:i/>
        </w:rPr>
      </w:pPr>
      <w:proofErr w:type="spellStart"/>
      <w:r>
        <w:t>Rampolla</w:t>
      </w:r>
      <w:proofErr w:type="spellEnd"/>
      <w:r>
        <w:t xml:space="preserve">, </w:t>
      </w:r>
      <w:r>
        <w:rPr>
          <w:i/>
        </w:rPr>
        <w:t>Poc</w:t>
      </w:r>
      <w:r w:rsidR="00513F12">
        <w:rPr>
          <w:i/>
        </w:rPr>
        <w:t>ket Guide</w:t>
      </w:r>
      <w:r w:rsidR="003F2DD8">
        <w:t>, chapters 5, 6.</w:t>
      </w:r>
    </w:p>
    <w:p w:rsidR="000077BE" w:rsidRDefault="000077BE" w:rsidP="005E6772"/>
    <w:p w:rsidR="005E6772" w:rsidRDefault="005E6772" w:rsidP="00157144">
      <w:pPr>
        <w:rPr>
          <w:b/>
        </w:rPr>
      </w:pPr>
    </w:p>
    <w:p w:rsidR="00B04B94" w:rsidRDefault="00B04B94" w:rsidP="00B04B94">
      <w:pPr>
        <w:rPr>
          <w:sz w:val="32"/>
          <w:szCs w:val="32"/>
        </w:rPr>
      </w:pPr>
      <w:r>
        <w:rPr>
          <w:sz w:val="32"/>
          <w:szCs w:val="32"/>
        </w:rPr>
        <w:t xml:space="preserve">PART III: </w:t>
      </w:r>
      <w:bookmarkStart w:id="0" w:name="_GoBack"/>
      <w:bookmarkEnd w:id="0"/>
      <w:r>
        <w:rPr>
          <w:sz w:val="32"/>
          <w:szCs w:val="32"/>
        </w:rPr>
        <w:t>APARTHEID’S IMPACT ON THE ECONOMY</w:t>
      </w:r>
    </w:p>
    <w:p w:rsidR="00B04B94" w:rsidRDefault="00B04B94" w:rsidP="00B04B94">
      <w:pPr>
        <w:rPr>
          <w:sz w:val="32"/>
          <w:szCs w:val="32"/>
        </w:rPr>
      </w:pPr>
    </w:p>
    <w:p w:rsidR="00B04B94" w:rsidRDefault="00B04B94" w:rsidP="00B04B94">
      <w:pPr>
        <w:rPr>
          <w:b/>
        </w:rPr>
      </w:pPr>
      <w:r>
        <w:rPr>
          <w:b/>
        </w:rPr>
        <w:t>March 30: Transformations in South African Economy</w:t>
      </w:r>
    </w:p>
    <w:p w:rsidR="00B04B94" w:rsidRDefault="00B04B94" w:rsidP="00B04B94">
      <w:r>
        <w:t xml:space="preserve">Martin </w:t>
      </w:r>
      <w:proofErr w:type="spellStart"/>
      <w:r>
        <w:t>Legassick</w:t>
      </w:r>
      <w:proofErr w:type="spellEnd"/>
      <w:r>
        <w:t xml:space="preserve">, “Gold, Agriculture, and Secondary Industry in South Africa, 1885-1970: From Periphery to Sub-Metropole as a Forced </w:t>
      </w:r>
      <w:proofErr w:type="spellStart"/>
      <w:r>
        <w:t>Labour</w:t>
      </w:r>
      <w:proofErr w:type="spellEnd"/>
      <w:r>
        <w:t xml:space="preserve"> System,” in </w:t>
      </w:r>
      <w:proofErr w:type="gramStart"/>
      <w:r w:rsidRPr="005C4376">
        <w:rPr>
          <w:i/>
        </w:rPr>
        <w:t>The</w:t>
      </w:r>
      <w:proofErr w:type="gramEnd"/>
      <w:r w:rsidRPr="005C4376">
        <w:rPr>
          <w:i/>
        </w:rPr>
        <w:t xml:space="preserve"> Roots of Rural Poverty </w:t>
      </w:r>
      <w:r>
        <w:rPr>
          <w:i/>
        </w:rPr>
        <w:t>in C</w:t>
      </w:r>
      <w:r w:rsidRPr="005C4376">
        <w:rPr>
          <w:i/>
        </w:rPr>
        <w:t>entral and Southern Africa</w:t>
      </w:r>
      <w:r>
        <w:t>, eds., Robin Palmer and Neil Parsons (Berkeley and LA: University of California Press, 1977): 175-200.</w:t>
      </w:r>
    </w:p>
    <w:p w:rsidR="00B04B94" w:rsidRDefault="00B04B94" w:rsidP="00B04B94">
      <w:pPr>
        <w:rPr>
          <w:b/>
        </w:rPr>
      </w:pPr>
    </w:p>
    <w:p w:rsidR="00B04B94" w:rsidRDefault="00B04B94" w:rsidP="00B04B94">
      <w:pPr>
        <w:rPr>
          <w:b/>
        </w:rPr>
      </w:pPr>
      <w:r>
        <w:rPr>
          <w:b/>
        </w:rPr>
        <w:t>April 4: Who are Peasants?</w:t>
      </w:r>
    </w:p>
    <w:p w:rsidR="00B04B94" w:rsidRDefault="00B04B94" w:rsidP="00B04B94">
      <w:proofErr w:type="gramStart"/>
      <w:r>
        <w:t>“Peasants in Africa.”</w:t>
      </w:r>
      <w:proofErr w:type="gramEnd"/>
      <w:r>
        <w:t xml:space="preserve"> (</w:t>
      </w:r>
      <w:r w:rsidRPr="00DB63F7">
        <w:t>Notes</w:t>
      </w:r>
      <w:r>
        <w:t>)</w:t>
      </w:r>
    </w:p>
    <w:p w:rsidR="00B04B94" w:rsidRDefault="00B04B94" w:rsidP="00B04B94"/>
    <w:p w:rsidR="00B04B94" w:rsidRDefault="00B04B94" w:rsidP="00B04B94">
      <w:pPr>
        <w:rPr>
          <w:b/>
        </w:rPr>
      </w:pPr>
      <w:r>
        <w:rPr>
          <w:b/>
        </w:rPr>
        <w:t xml:space="preserve">April 6:  Strangulation of the South </w:t>
      </w:r>
      <w:proofErr w:type="gramStart"/>
      <w:r>
        <w:rPr>
          <w:b/>
        </w:rPr>
        <w:t>African  Peasantry</w:t>
      </w:r>
      <w:proofErr w:type="gramEnd"/>
    </w:p>
    <w:p w:rsidR="00B04B94" w:rsidRDefault="00B04B94" w:rsidP="00B04B94">
      <w:pPr>
        <w:pStyle w:val="FootnoteText"/>
        <w:jc w:val="both"/>
        <w:rPr>
          <w:spacing w:val="-3"/>
          <w:sz w:val="24"/>
        </w:rPr>
      </w:pPr>
      <w:r>
        <w:rPr>
          <w:spacing w:val="-3"/>
          <w:sz w:val="24"/>
        </w:rPr>
        <w:t xml:space="preserve">Colin Bundy, “The Emergence and Decline of a South African Peasantry,” </w:t>
      </w:r>
      <w:r>
        <w:rPr>
          <w:i/>
          <w:iCs/>
          <w:spacing w:val="-3"/>
          <w:sz w:val="24"/>
        </w:rPr>
        <w:t>African Affairs</w:t>
      </w:r>
      <w:r>
        <w:rPr>
          <w:spacing w:val="-3"/>
          <w:sz w:val="24"/>
        </w:rPr>
        <w:t xml:space="preserve"> 71, 285 (1972): 369-388.</w:t>
      </w:r>
    </w:p>
    <w:p w:rsidR="00B04B94" w:rsidRDefault="00B04B94" w:rsidP="00B04B94">
      <w:pPr>
        <w:pStyle w:val="FootnoteText"/>
        <w:jc w:val="both"/>
        <w:rPr>
          <w:spacing w:val="-3"/>
          <w:sz w:val="24"/>
        </w:rPr>
      </w:pPr>
    </w:p>
    <w:p w:rsidR="00B04B94" w:rsidRPr="00B04B94" w:rsidRDefault="00B04B94" w:rsidP="00B04B94">
      <w:pPr>
        <w:pStyle w:val="FootnoteText"/>
        <w:numPr>
          <w:ilvl w:val="0"/>
          <w:numId w:val="7"/>
        </w:numPr>
        <w:jc w:val="both"/>
        <w:rPr>
          <w:b/>
          <w:i/>
          <w:spacing w:val="-3"/>
          <w:sz w:val="32"/>
          <w:szCs w:val="32"/>
        </w:rPr>
      </w:pPr>
      <w:r w:rsidRPr="005836B6">
        <w:rPr>
          <w:b/>
          <w:i/>
          <w:spacing w:val="-3"/>
          <w:sz w:val="32"/>
          <w:szCs w:val="32"/>
        </w:rPr>
        <w:t>Review 3 (“Gold Widows”) due Today</w:t>
      </w:r>
    </w:p>
    <w:p w:rsidR="00B04B94" w:rsidRPr="00DB63F7" w:rsidRDefault="00B04B94" w:rsidP="00B04B94"/>
    <w:p w:rsidR="00B04B94" w:rsidRDefault="00B04B94" w:rsidP="00B04B94">
      <w:pPr>
        <w:rPr>
          <w:b/>
        </w:rPr>
      </w:pPr>
      <w:r>
        <w:rPr>
          <w:b/>
        </w:rPr>
        <w:t>April 11:  Capitalism and the Working Classes</w:t>
      </w:r>
    </w:p>
    <w:p w:rsidR="00B04B94" w:rsidRDefault="00B04B94" w:rsidP="00B04B94">
      <w:r w:rsidRPr="009D2793">
        <w:t xml:space="preserve">E.R. Wolf, </w:t>
      </w:r>
      <w:r w:rsidRPr="009D2793">
        <w:rPr>
          <w:i/>
        </w:rPr>
        <w:t xml:space="preserve">Europe and the People </w:t>
      </w:r>
      <w:proofErr w:type="gramStart"/>
      <w:r w:rsidRPr="009D2793">
        <w:rPr>
          <w:i/>
        </w:rPr>
        <w:t>Without</w:t>
      </w:r>
      <w:proofErr w:type="gramEnd"/>
      <w:r w:rsidRPr="009D2793">
        <w:rPr>
          <w:i/>
        </w:rPr>
        <w:t xml:space="preserve"> History</w:t>
      </w:r>
      <w:r w:rsidRPr="009D2793">
        <w:t xml:space="preserve"> (University of California Press, 1982), 354-63, 366-68.</w:t>
      </w:r>
    </w:p>
    <w:p w:rsidR="00B04B94" w:rsidRDefault="00B04B94" w:rsidP="00B04B94"/>
    <w:p w:rsidR="00B04B94" w:rsidRDefault="00B04B94" w:rsidP="00B04B94">
      <w:pPr>
        <w:tabs>
          <w:tab w:val="left" w:pos="-720"/>
        </w:tabs>
        <w:suppressAutoHyphens/>
        <w:jc w:val="both"/>
        <w:rPr>
          <w:b/>
        </w:rPr>
      </w:pPr>
      <w:r>
        <w:rPr>
          <w:b/>
        </w:rPr>
        <w:t>April 13: Research Essay: Consulting with Lecturer</w:t>
      </w:r>
    </w:p>
    <w:p w:rsidR="00B04B94" w:rsidRDefault="00B04B94" w:rsidP="00B04B94"/>
    <w:p w:rsidR="00B04B94" w:rsidRDefault="00B04B94" w:rsidP="00B04B94">
      <w:pPr>
        <w:tabs>
          <w:tab w:val="left" w:pos="-720"/>
        </w:tabs>
        <w:suppressAutoHyphens/>
        <w:jc w:val="both"/>
        <w:rPr>
          <w:b/>
        </w:rPr>
      </w:pPr>
      <w:r>
        <w:rPr>
          <w:b/>
        </w:rPr>
        <w:t>April 18: Reproduction of the Labor Force</w:t>
      </w:r>
    </w:p>
    <w:p w:rsidR="00B04B94" w:rsidRDefault="00B04B94" w:rsidP="00B04B94">
      <w:pPr>
        <w:tabs>
          <w:tab w:val="left" w:pos="-720"/>
        </w:tabs>
        <w:suppressAutoHyphens/>
        <w:jc w:val="both"/>
      </w:pPr>
      <w:r w:rsidRPr="00CC0C2C">
        <w:t>Video</w:t>
      </w:r>
      <w:r>
        <w:t xml:space="preserve"> 4</w:t>
      </w:r>
      <w:r w:rsidRPr="00CC0C2C">
        <w:t>: “Gold Widows”</w:t>
      </w:r>
      <w:r>
        <w:t xml:space="preserve"> (52 minutes)</w:t>
      </w:r>
    </w:p>
    <w:p w:rsidR="00B04B94" w:rsidRPr="00E23080" w:rsidRDefault="00B04B94" w:rsidP="00B04B94">
      <w:pPr>
        <w:tabs>
          <w:tab w:val="left" w:pos="-720"/>
        </w:tabs>
        <w:suppressAutoHyphens/>
        <w:jc w:val="both"/>
        <w:rPr>
          <w:b/>
          <w:i/>
        </w:rPr>
      </w:pPr>
    </w:p>
    <w:p w:rsidR="00B04B94" w:rsidRDefault="00B04B94" w:rsidP="00B04B94">
      <w:pPr>
        <w:rPr>
          <w:b/>
        </w:rPr>
      </w:pPr>
      <w:r>
        <w:rPr>
          <w:b/>
        </w:rPr>
        <w:t>A</w:t>
      </w:r>
      <w:r w:rsidR="009A6F05">
        <w:rPr>
          <w:b/>
        </w:rPr>
        <w:t>pril 20: Liberals Interpret Economic Change</w:t>
      </w:r>
    </w:p>
    <w:p w:rsidR="00B04B94" w:rsidRDefault="00B04B94" w:rsidP="00B04B94">
      <w:r w:rsidRPr="0006779A">
        <w:t xml:space="preserve">Moll, Terence, “Did the Apartheid Economy ‘Fail’?” </w:t>
      </w:r>
      <w:r w:rsidRPr="0006779A">
        <w:rPr>
          <w:i/>
        </w:rPr>
        <w:t>Journal of Southern African Studies</w:t>
      </w:r>
      <w:r>
        <w:t xml:space="preserve"> 17, 2 (June</w:t>
      </w:r>
      <w:r w:rsidRPr="0006779A">
        <w:t xml:space="preserve"> 1991): 271-291</w:t>
      </w:r>
      <w:r>
        <w:t>.</w:t>
      </w:r>
    </w:p>
    <w:p w:rsidR="00B04B94" w:rsidRPr="00B04B94" w:rsidRDefault="00B04B94" w:rsidP="00B04B94">
      <w:pPr>
        <w:pStyle w:val="ListParagraph"/>
        <w:numPr>
          <w:ilvl w:val="0"/>
          <w:numId w:val="7"/>
        </w:numPr>
        <w:rPr>
          <w:b/>
          <w:i/>
          <w:sz w:val="32"/>
          <w:szCs w:val="32"/>
        </w:rPr>
      </w:pPr>
      <w:r w:rsidRPr="00B04B94">
        <w:rPr>
          <w:b/>
          <w:i/>
          <w:sz w:val="32"/>
          <w:szCs w:val="32"/>
        </w:rPr>
        <w:t>Research Essay Due Today</w:t>
      </w:r>
    </w:p>
    <w:p w:rsidR="00B04B94" w:rsidRDefault="00B04B94" w:rsidP="00B04B94"/>
    <w:p w:rsidR="00B04B94" w:rsidRDefault="00B04B94" w:rsidP="00B04B94">
      <w:pPr>
        <w:rPr>
          <w:b/>
        </w:rPr>
      </w:pPr>
      <w:r>
        <w:rPr>
          <w:b/>
        </w:rPr>
        <w:t xml:space="preserve">April 25: </w:t>
      </w:r>
      <w:r w:rsidR="009A6F05">
        <w:rPr>
          <w:b/>
        </w:rPr>
        <w:t>Radical</w:t>
      </w:r>
      <w:r w:rsidR="00D9584E">
        <w:rPr>
          <w:b/>
        </w:rPr>
        <w:t xml:space="preserve"> Views of the </w:t>
      </w:r>
      <w:r w:rsidR="009A6F05">
        <w:rPr>
          <w:b/>
        </w:rPr>
        <w:t>Role of Apartheid</w:t>
      </w:r>
    </w:p>
    <w:p w:rsidR="00B04B94" w:rsidRPr="00AA5BF3" w:rsidRDefault="00B04B94" w:rsidP="00B04B94">
      <w:r w:rsidRPr="00CC2816">
        <w:t>H</w:t>
      </w:r>
      <w:r>
        <w:t xml:space="preserve">. </w:t>
      </w:r>
      <w:r w:rsidRPr="00CC2816">
        <w:t xml:space="preserve"> </w:t>
      </w:r>
      <w:proofErr w:type="spellStart"/>
      <w:r w:rsidRPr="00CC2816">
        <w:t>Wolpe</w:t>
      </w:r>
      <w:proofErr w:type="spellEnd"/>
      <w:r w:rsidRPr="00CC2816">
        <w:t xml:space="preserve">, </w:t>
      </w:r>
      <w:r>
        <w:t>“</w:t>
      </w:r>
      <w:r w:rsidRPr="00CC2816">
        <w:t xml:space="preserve">Capitalism and Cheap </w:t>
      </w:r>
      <w:proofErr w:type="spellStart"/>
      <w:r w:rsidRPr="00CC2816">
        <w:t>Labour</w:t>
      </w:r>
      <w:proofErr w:type="spellEnd"/>
      <w:r w:rsidRPr="00CC2816">
        <w:t>-Power in Sou</w:t>
      </w:r>
      <w:r>
        <w:t xml:space="preserve">th Africa: From Segregation to </w:t>
      </w:r>
      <w:r w:rsidRPr="00CC2816">
        <w:t>Apartheid</w:t>
      </w:r>
      <w:r>
        <w:t>.”</w:t>
      </w:r>
      <w:r w:rsidRPr="00CC2816">
        <w:t xml:space="preserve"> </w:t>
      </w:r>
      <w:r w:rsidRPr="000066E1">
        <w:rPr>
          <w:i/>
        </w:rPr>
        <w:t>Economy and Society</w:t>
      </w:r>
      <w:r w:rsidRPr="00CC2816">
        <w:t xml:space="preserve"> 1, 4 (1972): 425-456. </w:t>
      </w:r>
    </w:p>
    <w:p w:rsidR="00B04B94" w:rsidRDefault="00B04B94" w:rsidP="00B04B94">
      <w:pPr>
        <w:rPr>
          <w:b/>
        </w:rPr>
      </w:pPr>
    </w:p>
    <w:p w:rsidR="00D9584E" w:rsidRDefault="00B04B94" w:rsidP="00B04B94">
      <w:pPr>
        <w:rPr>
          <w:b/>
        </w:rPr>
      </w:pPr>
      <w:r>
        <w:rPr>
          <w:b/>
        </w:rPr>
        <w:t xml:space="preserve">April 27: </w:t>
      </w:r>
      <w:r w:rsidR="00D9584E">
        <w:rPr>
          <w:b/>
        </w:rPr>
        <w:t xml:space="preserve">Can Radicals Make Peace with Liberals? </w:t>
      </w:r>
    </w:p>
    <w:p w:rsidR="00956226" w:rsidRDefault="00B04B94" w:rsidP="00B04B94">
      <w:proofErr w:type="spellStart"/>
      <w:r>
        <w:t>Beinart</w:t>
      </w:r>
      <w:proofErr w:type="spellEnd"/>
      <w:r>
        <w:t xml:space="preserve">, </w:t>
      </w:r>
      <w:r w:rsidRPr="00970C42">
        <w:rPr>
          <w:i/>
        </w:rPr>
        <w:t>Twentieth-Century South Africa</w:t>
      </w:r>
      <w:r>
        <w:t>, 156-158, 170-179, 252-253.</w:t>
      </w:r>
      <w:r w:rsidRPr="00CC2816">
        <w:t xml:space="preserve"> </w:t>
      </w:r>
    </w:p>
    <w:p w:rsidR="00C50B0B" w:rsidRDefault="00C50B0B" w:rsidP="00B04B94"/>
    <w:p w:rsidR="00B04B94" w:rsidRDefault="00B04B94" w:rsidP="00B04B94"/>
    <w:p w:rsidR="00956226" w:rsidRDefault="00956226" w:rsidP="00F4616D"/>
    <w:p w:rsidR="00956226" w:rsidRDefault="00956226" w:rsidP="00956226">
      <w:pPr>
        <w:tabs>
          <w:tab w:val="left" w:pos="-720"/>
        </w:tabs>
        <w:suppressAutoHyphens/>
        <w:jc w:val="both"/>
        <w:rPr>
          <w:sz w:val="40"/>
          <w:szCs w:val="40"/>
        </w:rPr>
      </w:pPr>
      <w:r>
        <w:rPr>
          <w:sz w:val="40"/>
          <w:szCs w:val="40"/>
        </w:rPr>
        <w:t>College Policies</w:t>
      </w:r>
    </w:p>
    <w:p w:rsidR="00956226" w:rsidRDefault="00956226" w:rsidP="00956226">
      <w:pPr>
        <w:numPr>
          <w:ilvl w:val="0"/>
          <w:numId w:val="3"/>
        </w:numPr>
        <w:tabs>
          <w:tab w:val="left" w:pos="-720"/>
        </w:tabs>
        <w:suppressAutoHyphens/>
        <w:overflowPunct w:val="0"/>
        <w:autoSpaceDE w:val="0"/>
        <w:autoSpaceDN w:val="0"/>
        <w:adjustRightInd w:val="0"/>
        <w:jc w:val="both"/>
        <w:textAlignment w:val="baseline"/>
        <w:rPr>
          <w:rFonts w:ascii="Garamond" w:hAnsi="Garamond"/>
        </w:rPr>
      </w:pPr>
      <w:r>
        <w:rPr>
          <w:rFonts w:ascii="Garamond" w:hAnsi="Garamond"/>
          <w:b/>
        </w:rPr>
        <w:t>The College’s Credit Hour P</w:t>
      </w:r>
      <w:r w:rsidRPr="001F59B4">
        <w:rPr>
          <w:rFonts w:ascii="Garamond" w:hAnsi="Garamond"/>
          <w:b/>
        </w:rPr>
        <w:t>olicy</w:t>
      </w:r>
      <w:r w:rsidRPr="00784035">
        <w:rPr>
          <w:rFonts w:ascii="Garamond" w:hAnsi="Garamond"/>
        </w:rPr>
        <w:t xml:space="preserve"> on undergraduate courses is to award 4 credit hours for courses that meet for the equivalent of 3 periods of 50 minutes each week.  Students enrolled in HIS 383W are expected to devote at least one hour each week to identifying the main lines of argument in course readings, working alone or in groups, and to researching in depth their topi</w:t>
      </w:r>
      <w:r>
        <w:rPr>
          <w:rFonts w:ascii="Garamond" w:hAnsi="Garamond"/>
        </w:rPr>
        <w:t>cs for the final seminar paper</w:t>
      </w:r>
      <w:proofErr w:type="gramStart"/>
      <w:r>
        <w:rPr>
          <w:rFonts w:ascii="Garamond" w:hAnsi="Garamond"/>
        </w:rPr>
        <w:t>..</w:t>
      </w:r>
      <w:proofErr w:type="gramEnd"/>
    </w:p>
    <w:p w:rsidR="00956226" w:rsidRPr="00784035" w:rsidRDefault="00956226" w:rsidP="00956226">
      <w:pPr>
        <w:pStyle w:val="ListParagraph"/>
        <w:numPr>
          <w:ilvl w:val="0"/>
          <w:numId w:val="3"/>
        </w:numPr>
        <w:rPr>
          <w:rFonts w:ascii="Garamond" w:hAnsi="Garamond"/>
        </w:rPr>
      </w:pPr>
      <w:r>
        <w:rPr>
          <w:rFonts w:ascii="Garamond" w:hAnsi="Garamond"/>
          <w:b/>
          <w:bCs/>
        </w:rPr>
        <w:t>Students with D</w:t>
      </w:r>
      <w:r w:rsidRPr="00D90EA1">
        <w:rPr>
          <w:rFonts w:ascii="Garamond" w:hAnsi="Garamond"/>
          <w:b/>
          <w:bCs/>
        </w:rPr>
        <w:t xml:space="preserve">isabilities:  </w:t>
      </w:r>
      <w:r w:rsidRPr="00D3126D">
        <w:rPr>
          <w:rFonts w:ascii="Garamond" w:eastAsia="Garamond" w:hAnsi="Garamond" w:cs="Garamond"/>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w:t>
      </w:r>
      <w:hyperlink r:id="rId9" w:history="1">
        <w:r w:rsidRPr="00D3126D">
          <w:rPr>
            <w:rStyle w:val="Hyperlink"/>
            <w:rFonts w:ascii="Garamond" w:eastAsia="Garamond" w:hAnsi="Garamond" w:cs="Garamond"/>
          </w:rPr>
          <w:t>disability@rochester.edu</w:t>
        </w:r>
      </w:hyperlink>
      <w:r w:rsidRPr="00D3126D">
        <w:rPr>
          <w:rFonts w:ascii="Garamond" w:eastAsia="Garamond" w:hAnsi="Garamond" w:cs="Garamond"/>
        </w:rPr>
        <w:t>; (585) 276-5075; Taylor Hall.  If you have any questions or concerns, please feel free to contact me as well</w:t>
      </w:r>
      <w:r>
        <w:rPr>
          <w:rFonts w:ascii="Garamond" w:eastAsia="Garamond" w:hAnsi="Garamond" w:cs="Garamond"/>
        </w:rPr>
        <w:t>.</w:t>
      </w:r>
    </w:p>
    <w:p w:rsidR="00956226" w:rsidRDefault="00956226" w:rsidP="00956226">
      <w:pPr>
        <w:pStyle w:val="ListParagraph"/>
        <w:numPr>
          <w:ilvl w:val="0"/>
          <w:numId w:val="3"/>
        </w:numPr>
        <w:rPr>
          <w:rFonts w:ascii="Garamond" w:hAnsi="Garamond"/>
        </w:rPr>
      </w:pPr>
      <w:r w:rsidRPr="001F59B4">
        <w:rPr>
          <w:rFonts w:ascii="Garamond" w:hAnsi="Garamond"/>
          <w:b/>
        </w:rPr>
        <w:t>Academic Honesty Statement</w:t>
      </w:r>
      <w:r>
        <w:rPr>
          <w:rFonts w:ascii="Garamond" w:hAnsi="Garamond"/>
        </w:rPr>
        <w:t xml:space="preserve">: </w:t>
      </w:r>
      <w:r w:rsidRPr="00784035">
        <w:rPr>
          <w:rFonts w:ascii="Garamond" w:hAnsi="Garamond"/>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http://www.rochester.edu/College/honesty/.  For a helpful discussion of plagiarism (including subtle instances), see the American Historical Association’s ‘Defining Plagiarism,’ </w:t>
      </w:r>
      <w:hyperlink r:id="rId10" w:history="1">
        <w:r w:rsidRPr="003C3CA1">
          <w:rPr>
            <w:rStyle w:val="Hyperlink"/>
            <w:rFonts w:ascii="Garamond" w:hAnsi="Garamond"/>
          </w:rPr>
          <w:t>https://www.historians.org/teaching-and-learning/teaching-resources-for-historians/plagiarism-curricular-materials-for-history-instructors/defining-plagiarism</w:t>
        </w:r>
      </w:hyperlink>
      <w:r w:rsidRPr="00784035">
        <w:rPr>
          <w:rFonts w:ascii="Garamond" w:hAnsi="Garamond"/>
        </w:rPr>
        <w:t>.”</w:t>
      </w:r>
    </w:p>
    <w:p w:rsidR="00956226" w:rsidRPr="00D90EA1" w:rsidRDefault="00956226" w:rsidP="00956226">
      <w:pPr>
        <w:numPr>
          <w:ilvl w:val="0"/>
          <w:numId w:val="3"/>
        </w:numPr>
        <w:contextualSpacing/>
        <w:rPr>
          <w:rFonts w:ascii="Garamond" w:hAnsi="Garamond"/>
          <w:bCs/>
        </w:rPr>
      </w:pPr>
      <w:r w:rsidRPr="00D90EA1">
        <w:rPr>
          <w:rFonts w:ascii="Garamond" w:hAnsi="Garamond"/>
          <w:bCs/>
          <w:u w:val="single"/>
        </w:rPr>
        <w:t>Grading scale</w:t>
      </w:r>
      <w:r w:rsidRPr="00D90EA1">
        <w:rPr>
          <w:rFonts w:ascii="Garamond" w:hAnsi="Garamond"/>
          <w:bC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40"/>
      </w:tblGrid>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A</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100-93%</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A-</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92.9-90%</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B+</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89.9-87%</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B</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86.9-83%</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B-</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82.9-80%</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C+</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79.9-77%</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C</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76.9-73%</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C-</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72.9-70%</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D+</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69.9-67%</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D</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66.9-63%</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D-</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62.9-60%</w:t>
            </w:r>
          </w:p>
        </w:tc>
      </w:tr>
      <w:tr w:rsidR="00956226" w:rsidRPr="007B12C7" w:rsidTr="00CB2099">
        <w:tc>
          <w:tcPr>
            <w:tcW w:w="72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F</w:t>
            </w:r>
          </w:p>
        </w:tc>
        <w:tc>
          <w:tcPr>
            <w:tcW w:w="1440" w:type="dxa"/>
            <w:shd w:val="clear" w:color="auto" w:fill="auto"/>
          </w:tcPr>
          <w:p w:rsidR="00956226" w:rsidRPr="007B12C7" w:rsidRDefault="00956226" w:rsidP="00CB2099">
            <w:pPr>
              <w:contextualSpacing/>
              <w:rPr>
                <w:rFonts w:ascii="Garamond" w:hAnsi="Garamond"/>
                <w:bCs/>
              </w:rPr>
            </w:pPr>
            <w:r w:rsidRPr="007B12C7">
              <w:rPr>
                <w:rFonts w:ascii="Garamond" w:hAnsi="Garamond"/>
                <w:bCs/>
              </w:rPr>
              <w:t>Below 60%</w:t>
            </w:r>
          </w:p>
        </w:tc>
      </w:tr>
    </w:tbl>
    <w:p w:rsidR="00956226" w:rsidRDefault="00956226" w:rsidP="00956226">
      <w:pPr>
        <w:contextualSpacing/>
        <w:rPr>
          <w:rFonts w:ascii="Garamond" w:hAnsi="Garamond"/>
          <w:b/>
          <w:bCs/>
        </w:rPr>
      </w:pPr>
    </w:p>
    <w:p w:rsidR="00956226" w:rsidRDefault="00956226" w:rsidP="00956226">
      <w:pPr>
        <w:numPr>
          <w:ilvl w:val="0"/>
          <w:numId w:val="4"/>
        </w:numPr>
        <w:contextualSpacing/>
        <w:rPr>
          <w:rFonts w:ascii="Garamond" w:hAnsi="Garamond"/>
          <w:bCs/>
        </w:rPr>
      </w:pPr>
      <w:r w:rsidRPr="00D90EA1">
        <w:rPr>
          <w:rFonts w:ascii="Garamond" w:hAnsi="Garamond"/>
          <w:b/>
          <w:bCs/>
        </w:rPr>
        <w:t>Copyright notice:</w:t>
      </w:r>
      <w:r>
        <w:rPr>
          <w:rFonts w:ascii="Garamond" w:hAnsi="Garamond"/>
          <w:bCs/>
        </w:rPr>
        <w:t xml:space="preserve"> Copyright © by Elias Mandala</w:t>
      </w:r>
      <w:r w:rsidRPr="00D90EA1">
        <w:rPr>
          <w:rFonts w:ascii="Garamond" w:hAnsi="Garamond"/>
          <w:bCs/>
        </w:rPr>
        <w:t xml:space="preserve"> as to this syllabus and </w:t>
      </w:r>
      <w:r>
        <w:rPr>
          <w:rFonts w:ascii="Garamond" w:hAnsi="Garamond"/>
          <w:bCs/>
        </w:rPr>
        <w:t>any class</w:t>
      </w:r>
      <w:r w:rsidRPr="00D90EA1">
        <w:rPr>
          <w:rFonts w:ascii="Garamond" w:hAnsi="Garamond"/>
          <w:bCs/>
        </w:rPr>
        <w:t xml:space="preserve"> lectures. </w:t>
      </w:r>
    </w:p>
    <w:p w:rsidR="00956226" w:rsidRPr="00FA7F0B" w:rsidRDefault="00956226" w:rsidP="00956226">
      <w:pPr>
        <w:numPr>
          <w:ilvl w:val="0"/>
          <w:numId w:val="4"/>
        </w:numPr>
        <w:contextualSpacing/>
        <w:rPr>
          <w:rFonts w:ascii="Garamond" w:hAnsi="Garamond"/>
          <w:bCs/>
        </w:rPr>
      </w:pPr>
      <w:r w:rsidRPr="00FA7F0B">
        <w:rPr>
          <w:rFonts w:ascii="Garamond" w:hAnsi="Garamond"/>
          <w:b/>
          <w:bCs/>
        </w:rPr>
        <w:t>Disclaimer:</w:t>
      </w:r>
      <w:r w:rsidRPr="00FA7F0B">
        <w:rPr>
          <w:rFonts w:ascii="Garamond" w:hAnsi="Garamond"/>
          <w:bCs/>
        </w:rPr>
        <w:t xml:space="preserve"> The instructor reserves the right to change topics and assignments on the syllabus at any point in the semester.  Any changes will be announced in class and posted on Blackboard.</w:t>
      </w:r>
    </w:p>
    <w:p w:rsidR="00956226" w:rsidRDefault="00956226" w:rsidP="00F4616D"/>
    <w:p w:rsidR="00AD2FF0" w:rsidRDefault="00AD2FF0" w:rsidP="00F4616D"/>
    <w:p w:rsidR="006973B7" w:rsidRDefault="006973B7"/>
    <w:sectPr w:rsidR="006973B7" w:rsidSect="005B1B7B">
      <w:headerReference w:type="even" r:id="rId11"/>
      <w:head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E9" w:rsidRDefault="00B270E9">
      <w:r>
        <w:separator/>
      </w:r>
    </w:p>
  </w:endnote>
  <w:endnote w:type="continuationSeparator" w:id="0">
    <w:p w:rsidR="00B270E9" w:rsidRDefault="00B2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E9" w:rsidRDefault="00B270E9">
      <w:r>
        <w:separator/>
      </w:r>
    </w:p>
  </w:footnote>
  <w:footnote w:type="continuationSeparator" w:id="0">
    <w:p w:rsidR="00B270E9" w:rsidRDefault="00B27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ED6" w:rsidRDefault="00D40ED7" w:rsidP="000229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0ED6" w:rsidRDefault="00895E5F" w:rsidP="005B1B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ED6" w:rsidRDefault="00D40ED7" w:rsidP="000229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5E5F">
      <w:rPr>
        <w:rStyle w:val="PageNumber"/>
        <w:noProof/>
      </w:rPr>
      <w:t>6</w:t>
    </w:r>
    <w:r>
      <w:rPr>
        <w:rStyle w:val="PageNumber"/>
      </w:rPr>
      <w:fldChar w:fldCharType="end"/>
    </w:r>
  </w:p>
  <w:p w:rsidR="00A30ED6" w:rsidRDefault="00895E5F" w:rsidP="005B1B7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6F35"/>
    <w:multiLevelType w:val="hybridMultilevel"/>
    <w:tmpl w:val="2D42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24391"/>
    <w:multiLevelType w:val="hybridMultilevel"/>
    <w:tmpl w:val="C2EC9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1389D"/>
    <w:multiLevelType w:val="hybridMultilevel"/>
    <w:tmpl w:val="2852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01741"/>
    <w:multiLevelType w:val="hybridMultilevel"/>
    <w:tmpl w:val="7948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46678"/>
    <w:multiLevelType w:val="hybridMultilevel"/>
    <w:tmpl w:val="8D24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74831"/>
    <w:multiLevelType w:val="hybridMultilevel"/>
    <w:tmpl w:val="A3B4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69098C"/>
    <w:multiLevelType w:val="hybridMultilevel"/>
    <w:tmpl w:val="E5F8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44"/>
    <w:rsid w:val="000031A8"/>
    <w:rsid w:val="000077BE"/>
    <w:rsid w:val="00010F13"/>
    <w:rsid w:val="00020EA5"/>
    <w:rsid w:val="000344F7"/>
    <w:rsid w:val="00041D9B"/>
    <w:rsid w:val="000468F4"/>
    <w:rsid w:val="000541E8"/>
    <w:rsid w:val="0006097B"/>
    <w:rsid w:val="00065C0B"/>
    <w:rsid w:val="0006779A"/>
    <w:rsid w:val="00075AF4"/>
    <w:rsid w:val="00095C36"/>
    <w:rsid w:val="000A060B"/>
    <w:rsid w:val="000A6529"/>
    <w:rsid w:val="000B301F"/>
    <w:rsid w:val="000C18E6"/>
    <w:rsid w:val="000D02ED"/>
    <w:rsid w:val="000D1053"/>
    <w:rsid w:val="001016ED"/>
    <w:rsid w:val="00112987"/>
    <w:rsid w:val="00140836"/>
    <w:rsid w:val="00143A7D"/>
    <w:rsid w:val="00157144"/>
    <w:rsid w:val="00161654"/>
    <w:rsid w:val="0018338C"/>
    <w:rsid w:val="00197279"/>
    <w:rsid w:val="001B2974"/>
    <w:rsid w:val="001B4766"/>
    <w:rsid w:val="001E6758"/>
    <w:rsid w:val="001E7E3F"/>
    <w:rsid w:val="001E7F9E"/>
    <w:rsid w:val="002035C5"/>
    <w:rsid w:val="00205A00"/>
    <w:rsid w:val="002203A3"/>
    <w:rsid w:val="002218DF"/>
    <w:rsid w:val="00230B35"/>
    <w:rsid w:val="00241548"/>
    <w:rsid w:val="0024402E"/>
    <w:rsid w:val="00245086"/>
    <w:rsid w:val="002518A0"/>
    <w:rsid w:val="002756D5"/>
    <w:rsid w:val="002B3188"/>
    <w:rsid w:val="002B33F2"/>
    <w:rsid w:val="002C2895"/>
    <w:rsid w:val="002C7671"/>
    <w:rsid w:val="002D7CA8"/>
    <w:rsid w:val="002F3836"/>
    <w:rsid w:val="003135E0"/>
    <w:rsid w:val="00351B13"/>
    <w:rsid w:val="0036061C"/>
    <w:rsid w:val="003714B3"/>
    <w:rsid w:val="00372662"/>
    <w:rsid w:val="00373BDB"/>
    <w:rsid w:val="0037447E"/>
    <w:rsid w:val="00374649"/>
    <w:rsid w:val="00383648"/>
    <w:rsid w:val="003A417B"/>
    <w:rsid w:val="003A4668"/>
    <w:rsid w:val="003B7BD7"/>
    <w:rsid w:val="003C22ED"/>
    <w:rsid w:val="003D40D4"/>
    <w:rsid w:val="003F0549"/>
    <w:rsid w:val="003F2DD8"/>
    <w:rsid w:val="003F4FFC"/>
    <w:rsid w:val="00406104"/>
    <w:rsid w:val="004134E6"/>
    <w:rsid w:val="0043232D"/>
    <w:rsid w:val="00444364"/>
    <w:rsid w:val="00453C32"/>
    <w:rsid w:val="004627D5"/>
    <w:rsid w:val="00462AD4"/>
    <w:rsid w:val="00462D45"/>
    <w:rsid w:val="00463F08"/>
    <w:rsid w:val="004759A4"/>
    <w:rsid w:val="00483416"/>
    <w:rsid w:val="00495064"/>
    <w:rsid w:val="004A5602"/>
    <w:rsid w:val="004A77B1"/>
    <w:rsid w:val="004C1B17"/>
    <w:rsid w:val="004D5CF0"/>
    <w:rsid w:val="004D7F1D"/>
    <w:rsid w:val="004E2324"/>
    <w:rsid w:val="004E5537"/>
    <w:rsid w:val="004F71E1"/>
    <w:rsid w:val="00513F12"/>
    <w:rsid w:val="00517236"/>
    <w:rsid w:val="00526EA6"/>
    <w:rsid w:val="005306EF"/>
    <w:rsid w:val="005410C5"/>
    <w:rsid w:val="00542D0F"/>
    <w:rsid w:val="00567EEC"/>
    <w:rsid w:val="00571A9D"/>
    <w:rsid w:val="00573384"/>
    <w:rsid w:val="005836B6"/>
    <w:rsid w:val="005A438D"/>
    <w:rsid w:val="005B79AA"/>
    <w:rsid w:val="005C0F2B"/>
    <w:rsid w:val="005C3417"/>
    <w:rsid w:val="005C7980"/>
    <w:rsid w:val="005E6772"/>
    <w:rsid w:val="00600E54"/>
    <w:rsid w:val="006227FF"/>
    <w:rsid w:val="00627EB8"/>
    <w:rsid w:val="00642088"/>
    <w:rsid w:val="00674A5F"/>
    <w:rsid w:val="006973B7"/>
    <w:rsid w:val="006A214E"/>
    <w:rsid w:val="006A3C25"/>
    <w:rsid w:val="006B6574"/>
    <w:rsid w:val="006D43F5"/>
    <w:rsid w:val="006F0494"/>
    <w:rsid w:val="006F4463"/>
    <w:rsid w:val="006F6339"/>
    <w:rsid w:val="00716795"/>
    <w:rsid w:val="00730ACC"/>
    <w:rsid w:val="00733FB1"/>
    <w:rsid w:val="00737F80"/>
    <w:rsid w:val="00757496"/>
    <w:rsid w:val="00766E68"/>
    <w:rsid w:val="007721B6"/>
    <w:rsid w:val="00776076"/>
    <w:rsid w:val="00781118"/>
    <w:rsid w:val="00785272"/>
    <w:rsid w:val="007A44AD"/>
    <w:rsid w:val="007A502E"/>
    <w:rsid w:val="007A7EDB"/>
    <w:rsid w:val="007B0C69"/>
    <w:rsid w:val="007C36D6"/>
    <w:rsid w:val="007D01FC"/>
    <w:rsid w:val="007E67FC"/>
    <w:rsid w:val="00810F22"/>
    <w:rsid w:val="00813D34"/>
    <w:rsid w:val="008409DF"/>
    <w:rsid w:val="00844EE0"/>
    <w:rsid w:val="00857F92"/>
    <w:rsid w:val="00863C71"/>
    <w:rsid w:val="00871673"/>
    <w:rsid w:val="00895E5F"/>
    <w:rsid w:val="008968DA"/>
    <w:rsid w:val="008A5B27"/>
    <w:rsid w:val="008F54B9"/>
    <w:rsid w:val="0090727E"/>
    <w:rsid w:val="009205E5"/>
    <w:rsid w:val="009221B8"/>
    <w:rsid w:val="00956226"/>
    <w:rsid w:val="009946BC"/>
    <w:rsid w:val="009A6F05"/>
    <w:rsid w:val="009B70ED"/>
    <w:rsid w:val="009B7319"/>
    <w:rsid w:val="009E434B"/>
    <w:rsid w:val="009F0D84"/>
    <w:rsid w:val="00A00208"/>
    <w:rsid w:val="00A20940"/>
    <w:rsid w:val="00A22902"/>
    <w:rsid w:val="00A23D2B"/>
    <w:rsid w:val="00A25403"/>
    <w:rsid w:val="00A33E35"/>
    <w:rsid w:val="00A35553"/>
    <w:rsid w:val="00A41BF5"/>
    <w:rsid w:val="00A4297C"/>
    <w:rsid w:val="00A4646B"/>
    <w:rsid w:val="00A72575"/>
    <w:rsid w:val="00A74D70"/>
    <w:rsid w:val="00A804DC"/>
    <w:rsid w:val="00AA365E"/>
    <w:rsid w:val="00AA3D1C"/>
    <w:rsid w:val="00AA5BF3"/>
    <w:rsid w:val="00AA5E63"/>
    <w:rsid w:val="00AC1ABA"/>
    <w:rsid w:val="00AD2FF0"/>
    <w:rsid w:val="00AD535A"/>
    <w:rsid w:val="00AE2595"/>
    <w:rsid w:val="00AF7C2A"/>
    <w:rsid w:val="00B03C3C"/>
    <w:rsid w:val="00B04B94"/>
    <w:rsid w:val="00B06BBE"/>
    <w:rsid w:val="00B2404D"/>
    <w:rsid w:val="00B270E9"/>
    <w:rsid w:val="00B41100"/>
    <w:rsid w:val="00B41F3A"/>
    <w:rsid w:val="00B444EF"/>
    <w:rsid w:val="00B45685"/>
    <w:rsid w:val="00B463BC"/>
    <w:rsid w:val="00B5206C"/>
    <w:rsid w:val="00B57D75"/>
    <w:rsid w:val="00B64529"/>
    <w:rsid w:val="00B75E32"/>
    <w:rsid w:val="00B87C9B"/>
    <w:rsid w:val="00B94583"/>
    <w:rsid w:val="00B951BF"/>
    <w:rsid w:val="00BA2EEC"/>
    <w:rsid w:val="00BC21E4"/>
    <w:rsid w:val="00BC546E"/>
    <w:rsid w:val="00BE42AE"/>
    <w:rsid w:val="00BE6D65"/>
    <w:rsid w:val="00BF7F61"/>
    <w:rsid w:val="00C2059A"/>
    <w:rsid w:val="00C31493"/>
    <w:rsid w:val="00C43C16"/>
    <w:rsid w:val="00C50B0B"/>
    <w:rsid w:val="00C54B38"/>
    <w:rsid w:val="00C72CB0"/>
    <w:rsid w:val="00C75333"/>
    <w:rsid w:val="00C82AE2"/>
    <w:rsid w:val="00C858EE"/>
    <w:rsid w:val="00C860C4"/>
    <w:rsid w:val="00C94725"/>
    <w:rsid w:val="00CB56B9"/>
    <w:rsid w:val="00CC2763"/>
    <w:rsid w:val="00CC32CD"/>
    <w:rsid w:val="00CE6E57"/>
    <w:rsid w:val="00D12EA2"/>
    <w:rsid w:val="00D130A8"/>
    <w:rsid w:val="00D23287"/>
    <w:rsid w:val="00D30910"/>
    <w:rsid w:val="00D317E9"/>
    <w:rsid w:val="00D40ED7"/>
    <w:rsid w:val="00D7219B"/>
    <w:rsid w:val="00D75A4F"/>
    <w:rsid w:val="00D865AE"/>
    <w:rsid w:val="00D9584E"/>
    <w:rsid w:val="00DB4655"/>
    <w:rsid w:val="00DB5B8D"/>
    <w:rsid w:val="00DB63F7"/>
    <w:rsid w:val="00DC2E5F"/>
    <w:rsid w:val="00DC39E2"/>
    <w:rsid w:val="00DE7948"/>
    <w:rsid w:val="00E0051E"/>
    <w:rsid w:val="00E1293E"/>
    <w:rsid w:val="00E23080"/>
    <w:rsid w:val="00E26997"/>
    <w:rsid w:val="00E32945"/>
    <w:rsid w:val="00E3341A"/>
    <w:rsid w:val="00E42B02"/>
    <w:rsid w:val="00E5695B"/>
    <w:rsid w:val="00E61E92"/>
    <w:rsid w:val="00E632D0"/>
    <w:rsid w:val="00E8167C"/>
    <w:rsid w:val="00E81FCE"/>
    <w:rsid w:val="00EB1FBC"/>
    <w:rsid w:val="00EB2468"/>
    <w:rsid w:val="00EB6D98"/>
    <w:rsid w:val="00EC27D0"/>
    <w:rsid w:val="00EC7511"/>
    <w:rsid w:val="00ED076C"/>
    <w:rsid w:val="00ED0D3A"/>
    <w:rsid w:val="00ED22F5"/>
    <w:rsid w:val="00ED3514"/>
    <w:rsid w:val="00F21D48"/>
    <w:rsid w:val="00F25172"/>
    <w:rsid w:val="00F31FF8"/>
    <w:rsid w:val="00F4616D"/>
    <w:rsid w:val="00F561B2"/>
    <w:rsid w:val="00F6002F"/>
    <w:rsid w:val="00F64B86"/>
    <w:rsid w:val="00F91E4C"/>
    <w:rsid w:val="00F9600E"/>
    <w:rsid w:val="00FA2861"/>
    <w:rsid w:val="00FE6546"/>
    <w:rsid w:val="00FF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9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30AC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7144"/>
    <w:pPr>
      <w:tabs>
        <w:tab w:val="center" w:pos="4320"/>
        <w:tab w:val="right" w:pos="8640"/>
      </w:tabs>
    </w:pPr>
  </w:style>
  <w:style w:type="character" w:customStyle="1" w:styleId="HeaderChar">
    <w:name w:val="Header Char"/>
    <w:basedOn w:val="DefaultParagraphFont"/>
    <w:link w:val="Header"/>
    <w:rsid w:val="00157144"/>
    <w:rPr>
      <w:rFonts w:ascii="Times New Roman" w:eastAsia="Times New Roman" w:hAnsi="Times New Roman" w:cs="Times New Roman"/>
      <w:sz w:val="24"/>
      <w:szCs w:val="24"/>
    </w:rPr>
  </w:style>
  <w:style w:type="character" w:styleId="PageNumber">
    <w:name w:val="page number"/>
    <w:basedOn w:val="DefaultParagraphFont"/>
    <w:rsid w:val="00157144"/>
  </w:style>
  <w:style w:type="paragraph" w:styleId="FootnoteText">
    <w:name w:val="footnote text"/>
    <w:basedOn w:val="Normal"/>
    <w:link w:val="FootnoteTextChar"/>
    <w:unhideWhenUsed/>
    <w:rsid w:val="00157144"/>
    <w:rPr>
      <w:sz w:val="20"/>
      <w:szCs w:val="20"/>
    </w:rPr>
  </w:style>
  <w:style w:type="character" w:customStyle="1" w:styleId="FootnoteTextChar">
    <w:name w:val="Footnote Text Char"/>
    <w:basedOn w:val="DefaultParagraphFont"/>
    <w:link w:val="FootnoteText"/>
    <w:rsid w:val="0015714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3E35"/>
    <w:rPr>
      <w:rFonts w:ascii="Tahoma" w:hAnsi="Tahoma" w:cs="Tahoma"/>
      <w:sz w:val="16"/>
      <w:szCs w:val="16"/>
    </w:rPr>
  </w:style>
  <w:style w:type="character" w:customStyle="1" w:styleId="BalloonTextChar">
    <w:name w:val="Balloon Text Char"/>
    <w:basedOn w:val="DefaultParagraphFont"/>
    <w:link w:val="BalloonText"/>
    <w:uiPriority w:val="99"/>
    <w:semiHidden/>
    <w:rsid w:val="00A33E35"/>
    <w:rPr>
      <w:rFonts w:ascii="Tahoma" w:eastAsia="Times New Roman" w:hAnsi="Tahoma" w:cs="Tahoma"/>
      <w:sz w:val="16"/>
      <w:szCs w:val="16"/>
    </w:rPr>
  </w:style>
  <w:style w:type="character" w:styleId="Hyperlink">
    <w:name w:val="Hyperlink"/>
    <w:rsid w:val="000031A8"/>
    <w:rPr>
      <w:color w:val="0000FF"/>
      <w:u w:val="single"/>
    </w:rPr>
  </w:style>
  <w:style w:type="paragraph" w:styleId="NormalWeb">
    <w:name w:val="Normal (Web)"/>
    <w:basedOn w:val="Normal"/>
    <w:rsid w:val="000031A8"/>
    <w:pPr>
      <w:spacing w:before="100" w:beforeAutospacing="1" w:after="100" w:afterAutospacing="1"/>
    </w:pPr>
  </w:style>
  <w:style w:type="character" w:customStyle="1" w:styleId="object">
    <w:name w:val="object"/>
    <w:basedOn w:val="DefaultParagraphFont"/>
    <w:rsid w:val="000031A8"/>
  </w:style>
  <w:style w:type="paragraph" w:styleId="ListParagraph">
    <w:name w:val="List Paragraph"/>
    <w:basedOn w:val="Normal"/>
    <w:uiPriority w:val="34"/>
    <w:qFormat/>
    <w:rsid w:val="009205E5"/>
    <w:pPr>
      <w:ind w:left="720"/>
      <w:contextualSpacing/>
    </w:pPr>
  </w:style>
  <w:style w:type="character" w:customStyle="1" w:styleId="Heading2Char">
    <w:name w:val="Heading 2 Char"/>
    <w:basedOn w:val="DefaultParagraphFont"/>
    <w:link w:val="Heading2"/>
    <w:uiPriority w:val="9"/>
    <w:rsid w:val="00730ACC"/>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9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30AC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7144"/>
    <w:pPr>
      <w:tabs>
        <w:tab w:val="center" w:pos="4320"/>
        <w:tab w:val="right" w:pos="8640"/>
      </w:tabs>
    </w:pPr>
  </w:style>
  <w:style w:type="character" w:customStyle="1" w:styleId="HeaderChar">
    <w:name w:val="Header Char"/>
    <w:basedOn w:val="DefaultParagraphFont"/>
    <w:link w:val="Header"/>
    <w:rsid w:val="00157144"/>
    <w:rPr>
      <w:rFonts w:ascii="Times New Roman" w:eastAsia="Times New Roman" w:hAnsi="Times New Roman" w:cs="Times New Roman"/>
      <w:sz w:val="24"/>
      <w:szCs w:val="24"/>
    </w:rPr>
  </w:style>
  <w:style w:type="character" w:styleId="PageNumber">
    <w:name w:val="page number"/>
    <w:basedOn w:val="DefaultParagraphFont"/>
    <w:rsid w:val="00157144"/>
  </w:style>
  <w:style w:type="paragraph" w:styleId="FootnoteText">
    <w:name w:val="footnote text"/>
    <w:basedOn w:val="Normal"/>
    <w:link w:val="FootnoteTextChar"/>
    <w:unhideWhenUsed/>
    <w:rsid w:val="00157144"/>
    <w:rPr>
      <w:sz w:val="20"/>
      <w:szCs w:val="20"/>
    </w:rPr>
  </w:style>
  <w:style w:type="character" w:customStyle="1" w:styleId="FootnoteTextChar">
    <w:name w:val="Footnote Text Char"/>
    <w:basedOn w:val="DefaultParagraphFont"/>
    <w:link w:val="FootnoteText"/>
    <w:rsid w:val="0015714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3E35"/>
    <w:rPr>
      <w:rFonts w:ascii="Tahoma" w:hAnsi="Tahoma" w:cs="Tahoma"/>
      <w:sz w:val="16"/>
      <w:szCs w:val="16"/>
    </w:rPr>
  </w:style>
  <w:style w:type="character" w:customStyle="1" w:styleId="BalloonTextChar">
    <w:name w:val="Balloon Text Char"/>
    <w:basedOn w:val="DefaultParagraphFont"/>
    <w:link w:val="BalloonText"/>
    <w:uiPriority w:val="99"/>
    <w:semiHidden/>
    <w:rsid w:val="00A33E35"/>
    <w:rPr>
      <w:rFonts w:ascii="Tahoma" w:eastAsia="Times New Roman" w:hAnsi="Tahoma" w:cs="Tahoma"/>
      <w:sz w:val="16"/>
      <w:szCs w:val="16"/>
    </w:rPr>
  </w:style>
  <w:style w:type="character" w:styleId="Hyperlink">
    <w:name w:val="Hyperlink"/>
    <w:rsid w:val="000031A8"/>
    <w:rPr>
      <w:color w:val="0000FF"/>
      <w:u w:val="single"/>
    </w:rPr>
  </w:style>
  <w:style w:type="paragraph" w:styleId="NormalWeb">
    <w:name w:val="Normal (Web)"/>
    <w:basedOn w:val="Normal"/>
    <w:rsid w:val="000031A8"/>
    <w:pPr>
      <w:spacing w:before="100" w:beforeAutospacing="1" w:after="100" w:afterAutospacing="1"/>
    </w:pPr>
  </w:style>
  <w:style w:type="character" w:customStyle="1" w:styleId="object">
    <w:name w:val="object"/>
    <w:basedOn w:val="DefaultParagraphFont"/>
    <w:rsid w:val="000031A8"/>
  </w:style>
  <w:style w:type="paragraph" w:styleId="ListParagraph">
    <w:name w:val="List Paragraph"/>
    <w:basedOn w:val="Normal"/>
    <w:uiPriority w:val="34"/>
    <w:qFormat/>
    <w:rsid w:val="009205E5"/>
    <w:pPr>
      <w:ind w:left="720"/>
      <w:contextualSpacing/>
    </w:pPr>
  </w:style>
  <w:style w:type="character" w:customStyle="1" w:styleId="Heading2Char">
    <w:name w:val="Heading 2 Char"/>
    <w:basedOn w:val="DefaultParagraphFont"/>
    <w:link w:val="Heading2"/>
    <w:uiPriority w:val="9"/>
    <w:rsid w:val="00730AC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s.mandala@rochester.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istorians.org/teaching-and-learning/teaching-resources-for-historians/plagiarism-curricular-materials-for-history-instructors/defining-plagiarism" TargetMode="External"/><Relationship Id="rId4" Type="http://schemas.openxmlformats.org/officeDocument/2006/relationships/settings" Target="settings.xml"/><Relationship Id="rId9" Type="http://schemas.openxmlformats.org/officeDocument/2006/relationships/hyperlink" Target="mailto:disability@rocheste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EMandala</dc:creator>
  <cp:lastModifiedBy>Elias Mandala</cp:lastModifiedBy>
  <cp:revision>2</cp:revision>
  <cp:lastPrinted>2022-01-06T20:06:00Z</cp:lastPrinted>
  <dcterms:created xsi:type="dcterms:W3CDTF">2022-01-07T23:29:00Z</dcterms:created>
  <dcterms:modified xsi:type="dcterms:W3CDTF">2022-01-07T23:29:00Z</dcterms:modified>
</cp:coreProperties>
</file>