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1FD9" w14:textId="57D234ED" w:rsidR="00B04368" w:rsidRPr="003664ED" w:rsidRDefault="00BA4DEB" w:rsidP="00B04368">
      <w:pPr>
        <w:jc w:val="center"/>
        <w:rPr>
          <w:rFonts w:cstheme="minorHAnsi"/>
          <w:b/>
          <w:sz w:val="32"/>
          <w:szCs w:val="26"/>
        </w:rPr>
      </w:pPr>
      <w:bookmarkStart w:id="0" w:name="_GoBack"/>
      <w:bookmarkEnd w:id="0"/>
      <w:r>
        <w:rPr>
          <w:rFonts w:cs="Calibri"/>
          <w:b/>
          <w:sz w:val="32"/>
          <w:szCs w:val="26"/>
          <w:shd w:val="clear" w:color="auto" w:fill="FFFFFF"/>
        </w:rPr>
        <w:t>PSC 565</w:t>
      </w:r>
      <w:r w:rsidR="00B04368" w:rsidRPr="003664ED">
        <w:rPr>
          <w:rFonts w:cs="Calibri"/>
          <w:b/>
          <w:sz w:val="32"/>
          <w:szCs w:val="26"/>
          <w:shd w:val="clear" w:color="auto" w:fill="FFFFFF"/>
        </w:rPr>
        <w:t xml:space="preserve">: </w:t>
      </w:r>
      <w:r w:rsidR="00B04368" w:rsidRPr="003664ED">
        <w:rPr>
          <w:rFonts w:cstheme="minorHAnsi"/>
          <w:b/>
          <w:sz w:val="32"/>
          <w:szCs w:val="26"/>
        </w:rPr>
        <w:t>Political Economy of Development</w:t>
      </w:r>
    </w:p>
    <w:p w14:paraId="5784C376" w14:textId="77777777" w:rsidR="00B04368" w:rsidRPr="003664ED" w:rsidRDefault="00B04368" w:rsidP="00B043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Spring 2017</w:t>
      </w:r>
    </w:p>
    <w:p w14:paraId="1B4B7AFC" w14:textId="77777777" w:rsidR="00B04368" w:rsidRPr="003664ED" w:rsidRDefault="00B04368" w:rsidP="00B04368">
      <w:pPr>
        <w:jc w:val="center"/>
        <w:rPr>
          <w:rFonts w:cstheme="minorHAnsi"/>
          <w:sz w:val="24"/>
          <w:szCs w:val="24"/>
        </w:rPr>
      </w:pPr>
    </w:p>
    <w:p w14:paraId="39B9C55A" w14:textId="77777777" w:rsidR="00B04368" w:rsidRDefault="00B04368" w:rsidP="00B04368">
      <w:pPr>
        <w:jc w:val="both"/>
        <w:rPr>
          <w:rFonts w:cstheme="minorHAnsi"/>
          <w:b/>
          <w:sz w:val="24"/>
          <w:szCs w:val="24"/>
        </w:rPr>
      </w:pPr>
    </w:p>
    <w:p w14:paraId="26D4E331" w14:textId="77777777" w:rsidR="00B04368" w:rsidRPr="003664ED" w:rsidRDefault="00B04368" w:rsidP="00B0436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Alexander Lee</w:t>
      </w:r>
    </w:p>
    <w:p w14:paraId="501C8BF1" w14:textId="77777777" w:rsidR="00B04368" w:rsidRPr="003664ED" w:rsidRDefault="00B04368" w:rsidP="00B04368">
      <w:pPr>
        <w:spacing w:after="0" w:line="240" w:lineRule="auto"/>
        <w:rPr>
          <w:rFonts w:cstheme="minorHAnsi"/>
          <w:sz w:val="24"/>
          <w:szCs w:val="24"/>
        </w:rPr>
      </w:pPr>
      <w:r w:rsidRPr="003664ED"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>alexander.mark.lee@rochester.edu</w:t>
      </w:r>
    </w:p>
    <w:p w14:paraId="72317EC7" w14:textId="77777777" w:rsidR="00B04368" w:rsidRPr="003664ED" w:rsidRDefault="00B04368" w:rsidP="00B04368">
      <w:pPr>
        <w:spacing w:after="0" w:line="240" w:lineRule="auto"/>
        <w:rPr>
          <w:rFonts w:cstheme="minorHAnsi"/>
          <w:sz w:val="24"/>
          <w:szCs w:val="24"/>
        </w:rPr>
      </w:pPr>
      <w:r w:rsidRPr="003664ED">
        <w:rPr>
          <w:rFonts w:cstheme="minorHAnsi"/>
          <w:sz w:val="24"/>
          <w:szCs w:val="24"/>
        </w:rPr>
        <w:t xml:space="preserve">Office: Department of Political Science, Harkness Hall, Room </w:t>
      </w:r>
      <w:r>
        <w:rPr>
          <w:rFonts w:cstheme="minorHAnsi"/>
          <w:sz w:val="24"/>
          <w:szCs w:val="24"/>
        </w:rPr>
        <w:t>327</w:t>
      </w:r>
    </w:p>
    <w:p w14:paraId="6FD99D83" w14:textId="77777777" w:rsidR="00B04368" w:rsidRPr="003664ED" w:rsidRDefault="00B04368" w:rsidP="00B04368">
      <w:pPr>
        <w:spacing w:after="0" w:line="240" w:lineRule="auto"/>
        <w:rPr>
          <w:rFonts w:cstheme="minorHAnsi"/>
          <w:sz w:val="24"/>
          <w:szCs w:val="24"/>
        </w:rPr>
      </w:pPr>
      <w:r w:rsidRPr="003664ED">
        <w:rPr>
          <w:rFonts w:cstheme="minorHAnsi"/>
          <w:sz w:val="24"/>
          <w:szCs w:val="24"/>
        </w:rPr>
        <w:t xml:space="preserve">Office Hours: </w:t>
      </w:r>
      <w:r>
        <w:rPr>
          <w:rFonts w:cstheme="minorHAnsi"/>
          <w:sz w:val="24"/>
          <w:szCs w:val="24"/>
        </w:rPr>
        <w:t>Wednesdays 10:15-12:15 or by appointment</w:t>
      </w:r>
    </w:p>
    <w:p w14:paraId="0A7CA94C" w14:textId="77777777" w:rsidR="00B04368" w:rsidRPr="003664ED" w:rsidRDefault="00B04368" w:rsidP="00B04368">
      <w:pPr>
        <w:jc w:val="both"/>
        <w:rPr>
          <w:rFonts w:cstheme="minorHAnsi"/>
          <w:b/>
          <w:sz w:val="24"/>
          <w:szCs w:val="24"/>
        </w:rPr>
      </w:pPr>
    </w:p>
    <w:p w14:paraId="6B778214" w14:textId="77777777" w:rsidR="00B04368" w:rsidRPr="003664ED" w:rsidRDefault="00B04368" w:rsidP="00B04368">
      <w:pPr>
        <w:jc w:val="both"/>
        <w:rPr>
          <w:rFonts w:cstheme="minorHAnsi"/>
          <w:b/>
          <w:sz w:val="24"/>
          <w:szCs w:val="24"/>
        </w:rPr>
      </w:pPr>
      <w:r w:rsidRPr="003664ED">
        <w:rPr>
          <w:rFonts w:cstheme="minorHAnsi"/>
          <w:b/>
          <w:sz w:val="24"/>
          <w:szCs w:val="24"/>
        </w:rPr>
        <w:t>Overview</w:t>
      </w:r>
    </w:p>
    <w:p w14:paraId="62C61F51" w14:textId="77777777" w:rsidR="00B04368" w:rsidRPr="003664ED" w:rsidRDefault="00B04368" w:rsidP="00B04368">
      <w:pPr>
        <w:spacing w:line="240" w:lineRule="auto"/>
        <w:rPr>
          <w:b/>
          <w:sz w:val="24"/>
          <w:szCs w:val="24"/>
        </w:rPr>
      </w:pPr>
      <w:r w:rsidRPr="003664ED">
        <w:rPr>
          <w:rFonts w:cs="Arial"/>
          <w:sz w:val="24"/>
          <w:szCs w:val="24"/>
        </w:rPr>
        <w:t>This course surveys selected topics in the extensive liter</w:t>
      </w:r>
      <w:r>
        <w:rPr>
          <w:rFonts w:cs="Arial"/>
          <w:sz w:val="24"/>
          <w:szCs w:val="24"/>
        </w:rPr>
        <w:t xml:space="preserve">ature on political and economic </w:t>
      </w:r>
      <w:r w:rsidRPr="003664ED">
        <w:rPr>
          <w:rFonts w:cs="Arial"/>
          <w:sz w:val="24"/>
          <w:szCs w:val="24"/>
        </w:rPr>
        <w:t>development. We will focus on differences in formal and informal</w:t>
      </w:r>
      <w:r>
        <w:rPr>
          <w:rFonts w:cs="Arial"/>
          <w:sz w:val="24"/>
          <w:szCs w:val="24"/>
        </w:rPr>
        <w:t xml:space="preserve"> institutions across countries. </w:t>
      </w:r>
      <w:r w:rsidRPr="003664ED">
        <w:rPr>
          <w:rFonts w:cs="Arial"/>
          <w:sz w:val="24"/>
          <w:szCs w:val="24"/>
        </w:rPr>
        <w:t>Topics will include the determinants of economic growth</w:t>
      </w:r>
      <w:r>
        <w:rPr>
          <w:rFonts w:cs="Arial"/>
          <w:sz w:val="24"/>
          <w:szCs w:val="24"/>
        </w:rPr>
        <w:t xml:space="preserve">, the modernization hypothesis, </w:t>
      </w:r>
      <w:r w:rsidRPr="003664ED">
        <w:rPr>
          <w:rFonts w:cs="Arial"/>
          <w:sz w:val="24"/>
          <w:szCs w:val="24"/>
        </w:rPr>
        <w:t>distributional conflict, government corruption, the success and failure of states to deliver of public goods, among others.</w:t>
      </w:r>
    </w:p>
    <w:p w14:paraId="65AC4F8C" w14:textId="77777777" w:rsidR="00B04368" w:rsidRDefault="00B04368" w:rsidP="00B04368">
      <w:pPr>
        <w:spacing w:line="240" w:lineRule="auto"/>
        <w:rPr>
          <w:b/>
          <w:sz w:val="24"/>
          <w:szCs w:val="24"/>
        </w:rPr>
      </w:pPr>
    </w:p>
    <w:p w14:paraId="1E74A7FF" w14:textId="77777777" w:rsidR="00B04368" w:rsidRPr="003664ED" w:rsidRDefault="00B04368" w:rsidP="00B04368">
      <w:pPr>
        <w:spacing w:line="240" w:lineRule="auto"/>
        <w:rPr>
          <w:b/>
          <w:sz w:val="24"/>
          <w:szCs w:val="24"/>
        </w:rPr>
      </w:pPr>
      <w:r w:rsidRPr="003664ED">
        <w:rPr>
          <w:b/>
          <w:sz w:val="24"/>
          <w:szCs w:val="24"/>
        </w:rPr>
        <w:t>Requirements</w:t>
      </w:r>
    </w:p>
    <w:p w14:paraId="7C5D97F5" w14:textId="77777777" w:rsidR="00B04368" w:rsidRPr="00195991" w:rsidRDefault="00B04368" w:rsidP="00B04368">
      <w:pPr>
        <w:spacing w:line="240" w:lineRule="auto"/>
        <w:rPr>
          <w:sz w:val="24"/>
          <w:szCs w:val="24"/>
        </w:rPr>
      </w:pPr>
      <w:r w:rsidRPr="00195991">
        <w:rPr>
          <w:sz w:val="24"/>
          <w:szCs w:val="24"/>
        </w:rPr>
        <w:t xml:space="preserve">Students must do all required readings, and be prepared to discuss them actively. </w:t>
      </w:r>
    </w:p>
    <w:p w14:paraId="2D9B864B" w14:textId="77777777" w:rsidR="00B04368" w:rsidRPr="00F47BEC" w:rsidRDefault="00B04368" w:rsidP="00B04368">
      <w:pPr>
        <w:spacing w:line="240" w:lineRule="auto"/>
        <w:rPr>
          <w:sz w:val="24"/>
          <w:szCs w:val="24"/>
        </w:rPr>
      </w:pPr>
      <w:r w:rsidRPr="00195991">
        <w:rPr>
          <w:sz w:val="24"/>
          <w:szCs w:val="24"/>
        </w:rPr>
        <w:t>As a final assignment, students must submit a research proposal on a topic relevant to the course material, which should be 10-12 double spaced pages</w:t>
      </w:r>
      <w:r>
        <w:rPr>
          <w:sz w:val="24"/>
          <w:szCs w:val="24"/>
        </w:rPr>
        <w:t xml:space="preserve"> in length. This proposal should outline 1) An existing theoretical or empirical puzzle, 2) an intuition as to a solution to this puzzle, 3) the data needed to test this puzzle, and 4) the identification strategy to be used. </w:t>
      </w:r>
    </w:p>
    <w:p w14:paraId="427BC17D" w14:textId="77777777" w:rsidR="00B04368" w:rsidRDefault="00B04368" w:rsidP="00B04368">
      <w:pPr>
        <w:spacing w:line="240" w:lineRule="auto"/>
        <w:rPr>
          <w:b/>
          <w:sz w:val="24"/>
          <w:szCs w:val="24"/>
        </w:rPr>
      </w:pPr>
    </w:p>
    <w:p w14:paraId="20BAB4E0" w14:textId="77777777" w:rsidR="00B04368" w:rsidRPr="003664ED" w:rsidRDefault="00B04368" w:rsidP="00B04368">
      <w:pPr>
        <w:spacing w:line="240" w:lineRule="auto"/>
        <w:jc w:val="center"/>
        <w:rPr>
          <w:b/>
          <w:sz w:val="28"/>
          <w:szCs w:val="28"/>
        </w:rPr>
      </w:pPr>
      <w:r w:rsidRPr="003664ED">
        <w:rPr>
          <w:b/>
          <w:sz w:val="28"/>
          <w:szCs w:val="28"/>
        </w:rPr>
        <w:t>Course Schedule</w:t>
      </w:r>
    </w:p>
    <w:p w14:paraId="35B9AE65" w14:textId="77777777" w:rsidR="00B04368" w:rsidRPr="003664ED" w:rsidRDefault="00B04368" w:rsidP="00B04368">
      <w:pPr>
        <w:spacing w:line="240" w:lineRule="auto"/>
        <w:rPr>
          <w:b/>
          <w:sz w:val="24"/>
          <w:szCs w:val="24"/>
        </w:rPr>
      </w:pPr>
    </w:p>
    <w:p w14:paraId="2F643B4C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1-- Institutions and Development</w:t>
      </w:r>
    </w:p>
    <w:p w14:paraId="3343ADF3" w14:textId="77777777" w:rsidR="00B04368" w:rsidRPr="00032AC7" w:rsidRDefault="00B04368" w:rsidP="00B04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32AC7">
        <w:rPr>
          <w:rFonts w:cs="Garamond"/>
          <w:sz w:val="24"/>
          <w:szCs w:val="24"/>
        </w:rPr>
        <w:t xml:space="preserve">Besley, T. and T. Persson. (2009). “The Origins of State Capacity: Property Rights, Taxation and Politics,” </w:t>
      </w:r>
      <w:r w:rsidRPr="00032AC7">
        <w:rPr>
          <w:rFonts w:cs="Garamond-Italic"/>
          <w:i/>
          <w:iCs/>
          <w:sz w:val="24"/>
          <w:szCs w:val="24"/>
        </w:rPr>
        <w:t>American Economic Review</w:t>
      </w:r>
      <w:r w:rsidRPr="00032AC7">
        <w:rPr>
          <w:rFonts w:cs="Garamond"/>
          <w:sz w:val="24"/>
          <w:szCs w:val="24"/>
        </w:rPr>
        <w:t>, 99, 1218-44.</w:t>
      </w:r>
    </w:p>
    <w:p w14:paraId="467506DD" w14:textId="77777777" w:rsidR="00B04368" w:rsidRPr="00032AC7" w:rsidRDefault="00B04368" w:rsidP="00B0436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Sokoloff, Kenneth L., and Stanley L. Engerman. "History lessons: Institutions, factors endowments, and paths of development in the new world." </w:t>
      </w:r>
      <w:r w:rsidRPr="00032AC7">
        <w:rPr>
          <w:rFonts w:eastAsia="Times New Roman" w:cs="Times New Roman"/>
          <w:i/>
          <w:iCs/>
          <w:sz w:val="24"/>
          <w:szCs w:val="24"/>
        </w:rPr>
        <w:t>The Journal of Economic Perspectives</w:t>
      </w:r>
      <w:r w:rsidRPr="00032AC7">
        <w:rPr>
          <w:rFonts w:eastAsia="Times New Roman" w:cs="Times New Roman"/>
          <w:sz w:val="24"/>
          <w:szCs w:val="24"/>
        </w:rPr>
        <w:t xml:space="preserve"> (2000): 217-232.</w:t>
      </w:r>
    </w:p>
    <w:p w14:paraId="12951FFC" w14:textId="77777777" w:rsidR="00B04368" w:rsidRPr="00032AC7" w:rsidRDefault="00B04368" w:rsidP="00B04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32AC7">
        <w:rPr>
          <w:rFonts w:cs="Times New Roman"/>
          <w:sz w:val="24"/>
          <w:szCs w:val="24"/>
        </w:rPr>
        <w:t xml:space="preserve">Douglass North. </w:t>
      </w:r>
      <w:r w:rsidRPr="00032AC7">
        <w:rPr>
          <w:rFonts w:cs="Times New Roman"/>
          <w:i/>
          <w:sz w:val="24"/>
          <w:szCs w:val="24"/>
        </w:rPr>
        <w:t>Institutions, Institutional Change and Economic Performance</w:t>
      </w:r>
      <w:r w:rsidRPr="00032AC7">
        <w:rPr>
          <w:rFonts w:cs="Times New Roman"/>
          <w:sz w:val="24"/>
          <w:szCs w:val="24"/>
        </w:rPr>
        <w:t>, Cambridge University Press. Part I.</w:t>
      </w:r>
    </w:p>
    <w:p w14:paraId="7DF8B5E6" w14:textId="77777777" w:rsidR="00B04368" w:rsidRPr="00032AC7" w:rsidRDefault="00B04368" w:rsidP="00B043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32AC7">
        <w:rPr>
          <w:rFonts w:cs="Times New Roman"/>
          <w:sz w:val="24"/>
          <w:szCs w:val="24"/>
        </w:rPr>
        <w:lastRenderedPageBreak/>
        <w:t xml:space="preserve">La Porta, R., F. Lopez de Silanes and A. Shleifer. (2008). “The Economic Consequences of Legal Origins,” </w:t>
      </w:r>
      <w:r w:rsidRPr="00032AC7">
        <w:rPr>
          <w:rFonts w:cs="Times New Roman"/>
          <w:i/>
          <w:sz w:val="24"/>
          <w:szCs w:val="24"/>
        </w:rPr>
        <w:t>Journal of Economic Literature</w:t>
      </w:r>
      <w:r w:rsidRPr="00032AC7">
        <w:rPr>
          <w:rFonts w:cs="Times New Roman"/>
          <w:sz w:val="24"/>
          <w:szCs w:val="24"/>
        </w:rPr>
        <w:t>, 46, 2, 285-332.</w:t>
      </w:r>
    </w:p>
    <w:p w14:paraId="496730F7" w14:textId="77777777" w:rsidR="00B04368" w:rsidRPr="00032AC7" w:rsidRDefault="00B04368" w:rsidP="00B04368">
      <w:pPr>
        <w:spacing w:line="240" w:lineRule="auto"/>
        <w:rPr>
          <w:sz w:val="24"/>
          <w:szCs w:val="24"/>
        </w:rPr>
      </w:pPr>
    </w:p>
    <w:p w14:paraId="16CE49AD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2-- Colonialism</w:t>
      </w:r>
    </w:p>
    <w:p w14:paraId="02ED3271" w14:textId="77777777" w:rsidR="00B04368" w:rsidRPr="00032AC7" w:rsidRDefault="00B04368" w:rsidP="00B0436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Gerring, John, et al. "An institutional theory of direct and indirect rule."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World Politics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63.03 (2011): 377-433.</w:t>
      </w:r>
    </w:p>
    <w:p w14:paraId="60B4BC31" w14:textId="77777777" w:rsidR="00B04368" w:rsidRPr="00032AC7" w:rsidRDefault="00B04368" w:rsidP="00B0436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Iyer, Lakshmi, and Abhijit Banerjee. "History, Institutions, and Economic Performance: The Legacy of Colonial Land Tenure Systems in India." </w:t>
      </w:r>
      <w:r w:rsidRPr="00032AC7">
        <w:rPr>
          <w:rFonts w:eastAsia="Times New Roman" w:cs="Times New Roman"/>
          <w:i/>
          <w:iCs/>
          <w:sz w:val="24"/>
          <w:szCs w:val="24"/>
        </w:rPr>
        <w:t>American economic review</w:t>
      </w:r>
      <w:r w:rsidRPr="00032AC7">
        <w:rPr>
          <w:rFonts w:eastAsia="Times New Roman" w:cs="Times New Roman"/>
          <w:sz w:val="24"/>
          <w:szCs w:val="24"/>
        </w:rPr>
        <w:t xml:space="preserve"> 95.3 (2005): 1190-1213.</w:t>
      </w:r>
    </w:p>
    <w:p w14:paraId="10A484EA" w14:textId="77777777" w:rsidR="00B04368" w:rsidRPr="00032AC7" w:rsidRDefault="00B04368" w:rsidP="00B0436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Iyer, Lakshmi. "Direct versus indirect colonial rule in India: Long-term consequences."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The Review of Economics and Statistics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92.4 (2010): 693-713</w:t>
      </w:r>
    </w:p>
    <w:p w14:paraId="128BB8B6" w14:textId="77777777" w:rsidR="00B04368" w:rsidRPr="00032AC7" w:rsidRDefault="00B04368" w:rsidP="00B0436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Dell, Melissa. "The persistent effects of Peru's mining mita." </w:t>
      </w:r>
      <w:r w:rsidRPr="00032AC7">
        <w:rPr>
          <w:rFonts w:eastAsia="Times New Roman" w:cs="Times New Roman"/>
          <w:i/>
          <w:iCs/>
          <w:sz w:val="24"/>
          <w:szCs w:val="24"/>
        </w:rPr>
        <w:t>Econometrica</w:t>
      </w:r>
      <w:r w:rsidRPr="00032AC7">
        <w:rPr>
          <w:rFonts w:eastAsia="Times New Roman" w:cs="Times New Roman"/>
          <w:sz w:val="24"/>
          <w:szCs w:val="24"/>
        </w:rPr>
        <w:t xml:space="preserve"> 78.6 (2010): 1863-1903.</w:t>
      </w:r>
    </w:p>
    <w:p w14:paraId="1539DE55" w14:textId="77777777" w:rsidR="00B04368" w:rsidRPr="00032AC7" w:rsidRDefault="00B04368" w:rsidP="00B04368">
      <w:pPr>
        <w:spacing w:after="0" w:line="240" w:lineRule="auto"/>
        <w:rPr>
          <w:sz w:val="24"/>
          <w:szCs w:val="24"/>
        </w:rPr>
      </w:pPr>
    </w:p>
    <w:p w14:paraId="68132FE7" w14:textId="77777777" w:rsidR="00B04368" w:rsidRPr="00032AC7" w:rsidRDefault="00B04368" w:rsidP="00B04368">
      <w:pPr>
        <w:pStyle w:val="ListParagraph"/>
        <w:spacing w:after="0" w:line="240" w:lineRule="auto"/>
        <w:rPr>
          <w:sz w:val="24"/>
          <w:szCs w:val="24"/>
        </w:rPr>
      </w:pPr>
    </w:p>
    <w:p w14:paraId="4321A6A1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3-- Clientelism</w:t>
      </w:r>
    </w:p>
    <w:p w14:paraId="7D025609" w14:textId="77777777" w:rsidR="00B04368" w:rsidRPr="00032AC7" w:rsidRDefault="00B04368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Shami, M. 2012. “Collective Action, Clientelism, and Connectivity,” </w:t>
      </w:r>
      <w:r w:rsidRPr="00032AC7">
        <w:rPr>
          <w:i/>
          <w:sz w:val="24"/>
          <w:szCs w:val="24"/>
        </w:rPr>
        <w:t>American Political Science Review, 106:3, 588-606.</w:t>
      </w:r>
    </w:p>
    <w:p w14:paraId="5DAB9885" w14:textId="77777777" w:rsidR="00B04368" w:rsidRPr="00032AC7" w:rsidRDefault="00B04368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Anderson, Siwan, Patrick Francois, and Ashok Kotwal. "Clientelism in Indian villages."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The American Economic Review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105.6 (2015): 1780-1816.</w:t>
      </w:r>
    </w:p>
    <w:p w14:paraId="1B070CE5" w14:textId="77777777" w:rsidR="00B04368" w:rsidRPr="00032AC7" w:rsidRDefault="00B05474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Thachil, Tariq. "Elite parties and poor voters: Theory and evidence from India."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American Political Science Review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108.02 (2014): 454-477.</w:t>
      </w:r>
    </w:p>
    <w:p w14:paraId="78867A37" w14:textId="77777777" w:rsidR="00B05474" w:rsidRPr="00032AC7" w:rsidRDefault="00B05474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Oi, Jean C. "Communism and clientelism: rural politics in China."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World Politics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37.02 (1985): 238-266.</w:t>
      </w:r>
    </w:p>
    <w:p w14:paraId="5A0B85B1" w14:textId="77777777" w:rsidR="00B04368" w:rsidRPr="00032AC7" w:rsidRDefault="00B04368" w:rsidP="00B04368">
      <w:pPr>
        <w:pStyle w:val="ListParagraph"/>
        <w:spacing w:line="240" w:lineRule="auto"/>
        <w:rPr>
          <w:sz w:val="24"/>
          <w:szCs w:val="24"/>
        </w:rPr>
      </w:pPr>
    </w:p>
    <w:p w14:paraId="0714BEEE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 xml:space="preserve">Week 4-- Corruption </w:t>
      </w:r>
    </w:p>
    <w:p w14:paraId="41ED6BF4" w14:textId="77777777" w:rsidR="00B04368" w:rsidRPr="00032AC7" w:rsidRDefault="00B04368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Ferrez, Claudio and Frederico Finan. 2008. “Exposing Corrupt Politicians: The Effects of Brazil’s Publicly Released Audits on Electoral Outcomes.” </w:t>
      </w:r>
      <w:r w:rsidRPr="00032AC7">
        <w:rPr>
          <w:i/>
          <w:sz w:val="24"/>
          <w:szCs w:val="24"/>
        </w:rPr>
        <w:t>The Quarterly Journal of Economics</w:t>
      </w:r>
      <w:r w:rsidRPr="00032AC7">
        <w:rPr>
          <w:sz w:val="24"/>
          <w:szCs w:val="24"/>
        </w:rPr>
        <w:t xml:space="preserve"> 123(2): 703-745.</w:t>
      </w:r>
    </w:p>
    <w:p w14:paraId="4C535205" w14:textId="77777777" w:rsidR="00B04368" w:rsidRPr="00032AC7" w:rsidRDefault="00B04368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Banerjee, A., D. Green, J. McManus and R. Pande. 2014. “Are Poor Voters Indifferent to Whether Elected Leaders are Criminal or Corrupt? A Vignette Experiment in Rural India,” </w:t>
      </w:r>
      <w:r w:rsidRPr="00032AC7">
        <w:rPr>
          <w:i/>
          <w:sz w:val="24"/>
          <w:szCs w:val="24"/>
        </w:rPr>
        <w:t>Working Paper.</w:t>
      </w:r>
    </w:p>
    <w:p w14:paraId="337E769D" w14:textId="77777777" w:rsidR="00B04368" w:rsidRPr="00032AC7" w:rsidRDefault="00B04368" w:rsidP="00B0436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Bertrand, M., S. Djankov, R. Hanna and S. Mullainathan. 2007. “Obtaining a Driver’s License in India: An Experimental Approach to Studying Corruption,” </w:t>
      </w:r>
      <w:r w:rsidRPr="00032AC7">
        <w:rPr>
          <w:i/>
          <w:sz w:val="24"/>
          <w:szCs w:val="24"/>
        </w:rPr>
        <w:t>The Quarterly Journal of Economics</w:t>
      </w:r>
      <w:r w:rsidRPr="00032AC7">
        <w:rPr>
          <w:sz w:val="24"/>
          <w:szCs w:val="24"/>
        </w:rPr>
        <w:t>, 122:4, 1639-1676.</w:t>
      </w:r>
    </w:p>
    <w:p w14:paraId="159934FD" w14:textId="77777777" w:rsidR="00B04368" w:rsidRPr="00032AC7" w:rsidRDefault="00B05474" w:rsidP="00B05474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Fisman, Raymond, Florian Schulz, and Vikrant Vig. "The Private Returns to Public Office."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Journal of Political Economy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122.4 (2014): 806-862.</w:t>
      </w:r>
    </w:p>
    <w:p w14:paraId="31927A1E" w14:textId="77777777" w:rsidR="00032AC7" w:rsidRPr="00032AC7" w:rsidRDefault="00032AC7" w:rsidP="00032AC7">
      <w:pPr>
        <w:spacing w:line="240" w:lineRule="auto"/>
        <w:rPr>
          <w:sz w:val="24"/>
          <w:szCs w:val="24"/>
        </w:rPr>
      </w:pPr>
    </w:p>
    <w:p w14:paraId="5B63B12E" w14:textId="77777777" w:rsidR="00B04368" w:rsidRPr="00032AC7" w:rsidRDefault="00B04368" w:rsidP="00B04368">
      <w:pPr>
        <w:pStyle w:val="ListParagraph"/>
        <w:spacing w:line="240" w:lineRule="auto"/>
        <w:rPr>
          <w:sz w:val="24"/>
          <w:szCs w:val="24"/>
        </w:rPr>
      </w:pPr>
    </w:p>
    <w:p w14:paraId="1A911B36" w14:textId="77777777" w:rsidR="00F608D7" w:rsidRPr="00032AC7" w:rsidRDefault="00B04368" w:rsidP="00F608D7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5-- Democracy: Macro-Institutional Effects</w:t>
      </w:r>
    </w:p>
    <w:p w14:paraId="4BCDB6DD" w14:textId="77777777" w:rsidR="00F608D7" w:rsidRPr="00032AC7" w:rsidRDefault="00F608D7" w:rsidP="00B043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-Italic"/>
          <w:i/>
          <w:iCs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Rajan, Raghuram G. "Rent preservation and the persistence of underdevelopment."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American Economic Journal: Macroeconomics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1.1 (2009): 178-218.</w:t>
      </w:r>
      <w:r w:rsidRPr="00032AC7">
        <w:rPr>
          <w:rFonts w:cs="Garamond"/>
          <w:sz w:val="24"/>
          <w:szCs w:val="24"/>
        </w:rPr>
        <w:t xml:space="preserve"> </w:t>
      </w:r>
    </w:p>
    <w:p w14:paraId="2DED2ABB" w14:textId="77777777" w:rsidR="00B04368" w:rsidRPr="00032AC7" w:rsidRDefault="00B04368" w:rsidP="00B043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-Italic"/>
          <w:i/>
          <w:iCs/>
          <w:sz w:val="24"/>
          <w:szCs w:val="24"/>
        </w:rPr>
      </w:pPr>
      <w:r w:rsidRPr="00032AC7">
        <w:rPr>
          <w:rFonts w:cs="Garamond"/>
          <w:sz w:val="24"/>
          <w:szCs w:val="24"/>
        </w:rPr>
        <w:t xml:space="preserve">Acemoglu, D., S. Johnson, J. Robinson and P. Yared. (2008). “Income and democracy,” </w:t>
      </w:r>
      <w:r w:rsidRPr="00032AC7">
        <w:rPr>
          <w:rFonts w:cs="Garamond-Italic"/>
          <w:i/>
          <w:iCs/>
          <w:sz w:val="24"/>
          <w:szCs w:val="24"/>
        </w:rPr>
        <w:t>American Economic Review</w:t>
      </w:r>
      <w:r w:rsidRPr="00032AC7">
        <w:rPr>
          <w:rFonts w:cs="Garamond"/>
          <w:sz w:val="24"/>
          <w:szCs w:val="24"/>
        </w:rPr>
        <w:t>, 98, 3, 808-842.</w:t>
      </w:r>
    </w:p>
    <w:p w14:paraId="7E8D17BB" w14:textId="77777777" w:rsidR="00B04368" w:rsidRPr="00032AC7" w:rsidRDefault="00B04368" w:rsidP="00B0547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Ross, M. 2006. “Is Democracy Good for the Poor?” </w:t>
      </w:r>
      <w:r w:rsidRPr="00032AC7">
        <w:rPr>
          <w:i/>
          <w:sz w:val="24"/>
          <w:szCs w:val="24"/>
        </w:rPr>
        <w:t>American Journal of Political Science, 50:4, 860-874.</w:t>
      </w:r>
    </w:p>
    <w:p w14:paraId="05D44BEF" w14:textId="77777777" w:rsidR="00B04368" w:rsidRPr="00032AC7" w:rsidRDefault="00B05474" w:rsidP="00B04368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Bourguignon, François, and Thierry Verdier. "Oligarchy, democracy, inequality and growth."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Journal of development Economics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62.2 (2000): 285-313.</w:t>
      </w:r>
    </w:p>
    <w:p w14:paraId="3C71D1FD" w14:textId="77777777" w:rsidR="00032AC7" w:rsidRPr="00032AC7" w:rsidRDefault="00032AC7" w:rsidP="00032AC7">
      <w:pPr>
        <w:pStyle w:val="ListParagraph"/>
        <w:spacing w:line="240" w:lineRule="auto"/>
        <w:rPr>
          <w:sz w:val="24"/>
          <w:szCs w:val="24"/>
        </w:rPr>
      </w:pPr>
    </w:p>
    <w:p w14:paraId="7591994B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6-- Democracy: Micro-Institutional Effects</w:t>
      </w:r>
    </w:p>
    <w:p w14:paraId="6DB2CFE6" w14:textId="77777777" w:rsidR="00B04368" w:rsidRPr="00032AC7" w:rsidRDefault="00B04368" w:rsidP="00B0436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Besley, T. and R. Burgess. 2002. “The Political Economy of Government Responsiveness: Theory and Evidence from India,” </w:t>
      </w:r>
      <w:r w:rsidRPr="00032AC7">
        <w:rPr>
          <w:i/>
          <w:sz w:val="24"/>
          <w:szCs w:val="24"/>
        </w:rPr>
        <w:t>Quarterly Journal of Economics,</w:t>
      </w:r>
      <w:r w:rsidRPr="00032AC7">
        <w:rPr>
          <w:sz w:val="24"/>
          <w:szCs w:val="24"/>
        </w:rPr>
        <w:t xml:space="preserve"> 117:4, 1415-1451.</w:t>
      </w:r>
    </w:p>
    <w:p w14:paraId="7FDE9BEB" w14:textId="77777777" w:rsidR="00B05474" w:rsidRPr="00032AC7" w:rsidRDefault="00B05474" w:rsidP="00B043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Manion, Melanie. "Democracy, community, trust The impact of elections in rural China."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Comparative Political Studies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39.3 (2006): 301-324.</w:t>
      </w:r>
    </w:p>
    <w:p w14:paraId="1A107FD5" w14:textId="77777777" w:rsidR="00B04368" w:rsidRPr="00032AC7" w:rsidRDefault="00B04368" w:rsidP="00B043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AC7">
        <w:rPr>
          <w:sz w:val="24"/>
          <w:szCs w:val="24"/>
        </w:rPr>
        <w:t xml:space="preserve">Tsai, Lily. 2007. “Solidary Groups, Informal Accountability, and Local Public Goods Provision in Rural China.” </w:t>
      </w:r>
      <w:r w:rsidRPr="00032AC7">
        <w:rPr>
          <w:i/>
          <w:sz w:val="24"/>
          <w:szCs w:val="24"/>
        </w:rPr>
        <w:t>American Political Science Review</w:t>
      </w:r>
      <w:r w:rsidRPr="00032AC7">
        <w:rPr>
          <w:sz w:val="24"/>
          <w:szCs w:val="24"/>
        </w:rPr>
        <w:t xml:space="preserve"> 101(2): 355-372.</w:t>
      </w:r>
    </w:p>
    <w:p w14:paraId="0604D2CB" w14:textId="77777777" w:rsidR="00B04368" w:rsidRPr="00032AC7" w:rsidRDefault="00B05474" w:rsidP="00B0436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Hecock, R. 2006. “Electoral Competition, Globalization, and Subnational Education Spending in Mexico, 1999-2004,” </w:t>
      </w:r>
      <w:r w:rsidRPr="00032AC7">
        <w:rPr>
          <w:i/>
          <w:sz w:val="24"/>
          <w:szCs w:val="24"/>
        </w:rPr>
        <w:t>American Journal of Political Science,</w:t>
      </w:r>
      <w:r w:rsidRPr="00032AC7">
        <w:rPr>
          <w:sz w:val="24"/>
          <w:szCs w:val="24"/>
        </w:rPr>
        <w:t xml:space="preserve"> 50:4, 950-961.</w:t>
      </w:r>
    </w:p>
    <w:p w14:paraId="02176302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7-- Macro-Economic Policy and Industrialization</w:t>
      </w:r>
    </w:p>
    <w:p w14:paraId="563DEC1D" w14:textId="77777777" w:rsidR="00B04368" w:rsidRPr="00032AC7" w:rsidRDefault="00B04368" w:rsidP="00B0436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W.W. Rostow (1960), </w:t>
      </w:r>
      <w:r w:rsidRPr="00032AC7">
        <w:rPr>
          <w:rFonts w:eastAsia="Times New Roman" w:cs="Times New Roman"/>
          <w:i/>
          <w:sz w:val="24"/>
          <w:szCs w:val="24"/>
        </w:rPr>
        <w:t>The Stages of Economic Growth</w:t>
      </w:r>
      <w:r w:rsidRPr="00032AC7">
        <w:rPr>
          <w:rFonts w:eastAsia="Times New Roman" w:cs="Times New Roman"/>
          <w:sz w:val="24"/>
          <w:szCs w:val="24"/>
        </w:rPr>
        <w:t xml:space="preserve">  (Cambridge: Cambridge University Press), Chapter 2, “The Five Stages-of-Growth – A Summary,” pp. 4-17. </w:t>
      </w:r>
    </w:p>
    <w:p w14:paraId="2097EAB5" w14:textId="77777777" w:rsidR="00B04368" w:rsidRPr="00032AC7" w:rsidRDefault="00B04368" w:rsidP="00B0436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Alexander Gerschenkron (1962), </w:t>
      </w:r>
      <w:r w:rsidRPr="00032AC7">
        <w:rPr>
          <w:rFonts w:eastAsia="Times New Roman" w:cs="Times New Roman"/>
          <w:i/>
          <w:sz w:val="24"/>
          <w:szCs w:val="24"/>
        </w:rPr>
        <w:t>Economic Backwardness in Historical Perspective</w:t>
      </w:r>
      <w:r w:rsidRPr="00032AC7">
        <w:rPr>
          <w:rFonts w:eastAsia="Times New Roman" w:cs="Times New Roman"/>
          <w:sz w:val="24"/>
          <w:szCs w:val="24"/>
        </w:rPr>
        <w:t xml:space="preserve">  (Cambridge:  Harvard University Press), Chapter 1, “Economic Backwardness in Historical Perspective,” pp. 5-30. </w:t>
      </w:r>
    </w:p>
    <w:p w14:paraId="7F13E7E2" w14:textId="77777777" w:rsidR="00B04368" w:rsidRPr="00032AC7" w:rsidRDefault="00B04368" w:rsidP="00B0436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Evans, Peter B. </w:t>
      </w:r>
      <w:r w:rsidRPr="00032AC7">
        <w:rPr>
          <w:rFonts w:eastAsia="Times New Roman" w:cs="Times New Roman"/>
          <w:i/>
          <w:iCs/>
          <w:sz w:val="24"/>
          <w:szCs w:val="24"/>
        </w:rPr>
        <w:t>Embedded autonomy: states and industrial transformation</w:t>
      </w:r>
      <w:r w:rsidRPr="00032AC7">
        <w:rPr>
          <w:rFonts w:eastAsia="Times New Roman" w:cs="Times New Roman"/>
          <w:sz w:val="24"/>
          <w:szCs w:val="24"/>
        </w:rPr>
        <w:t>. Princeton: Princeton University Press, 1995. P.3-20, 43-73</w:t>
      </w:r>
      <w:r w:rsidR="00F608D7" w:rsidRPr="00032AC7">
        <w:rPr>
          <w:rFonts w:eastAsia="Times New Roman" w:cs="Times New Roman"/>
          <w:sz w:val="24"/>
          <w:szCs w:val="24"/>
        </w:rPr>
        <w:t>.</w:t>
      </w:r>
    </w:p>
    <w:p w14:paraId="39B3C9E7" w14:textId="77777777" w:rsidR="00F608D7" w:rsidRPr="00032AC7" w:rsidRDefault="00F608D7" w:rsidP="00F608D7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032AC7">
        <w:rPr>
          <w:rFonts w:asciiTheme="minorHAnsi" w:hAnsiTheme="minorHAnsi"/>
        </w:rPr>
        <w:t xml:space="preserve">Francine R. Frankel. </w:t>
      </w:r>
      <w:r w:rsidRPr="00032AC7">
        <w:rPr>
          <w:rFonts w:asciiTheme="minorHAnsi" w:hAnsiTheme="minorHAnsi"/>
          <w:i/>
        </w:rPr>
        <w:t>India's political economy, 1947-2004 : the gradual revolution</w:t>
      </w:r>
      <w:r w:rsidRPr="00032AC7">
        <w:rPr>
          <w:rFonts w:asciiTheme="minorHAnsi" w:hAnsiTheme="minorHAnsi"/>
        </w:rPr>
        <w:t>. New Delhi ; New York : Oxford University Press, 2005. Chapters 1 and 14.</w:t>
      </w:r>
    </w:p>
    <w:p w14:paraId="4155860C" w14:textId="77777777" w:rsidR="00034928" w:rsidRDefault="00034928" w:rsidP="00034928">
      <w:pPr>
        <w:pStyle w:val="Footnote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32AC7">
        <w:rPr>
          <w:rFonts w:asciiTheme="minorHAnsi" w:eastAsiaTheme="minorHAnsi" w:hAnsiTheme="minorHAnsi" w:cs="Arial"/>
          <w:color w:val="1A1A1A"/>
          <w:sz w:val="24"/>
          <w:szCs w:val="24"/>
        </w:rPr>
        <w:t xml:space="preserve">Pomeranz, Kenneth. </w:t>
      </w:r>
      <w:r w:rsidRPr="00032AC7">
        <w:rPr>
          <w:rFonts w:asciiTheme="minorHAnsi" w:eastAsiaTheme="minorHAnsi" w:hAnsiTheme="minorHAnsi" w:cs="Arial"/>
          <w:i/>
          <w:iCs/>
          <w:color w:val="1A1A1A"/>
          <w:sz w:val="24"/>
          <w:szCs w:val="24"/>
        </w:rPr>
        <w:t>The great divergence: China, Europe, and the making of the modern world economy</w:t>
      </w:r>
      <w:r w:rsidRPr="00032AC7">
        <w:rPr>
          <w:rFonts w:asciiTheme="minorHAnsi" w:eastAsiaTheme="minorHAnsi" w:hAnsiTheme="minorHAnsi" w:cs="Arial"/>
          <w:color w:val="1A1A1A"/>
          <w:sz w:val="24"/>
          <w:szCs w:val="24"/>
        </w:rPr>
        <w:t>. Princeton University Press, 2009.</w:t>
      </w:r>
      <w:r w:rsidRPr="00032AC7">
        <w:rPr>
          <w:rFonts w:asciiTheme="minorHAnsi" w:hAnsiTheme="minorHAnsi"/>
          <w:sz w:val="24"/>
          <w:szCs w:val="24"/>
        </w:rPr>
        <w:t xml:space="preserve">  P. 3-68</w:t>
      </w:r>
    </w:p>
    <w:p w14:paraId="0904601E" w14:textId="77777777" w:rsidR="00032AC7" w:rsidRPr="00032AC7" w:rsidRDefault="00032AC7" w:rsidP="00032AC7">
      <w:pPr>
        <w:pStyle w:val="FootnoteText"/>
        <w:ind w:left="720"/>
        <w:rPr>
          <w:rFonts w:asciiTheme="minorHAnsi" w:hAnsiTheme="minorHAnsi"/>
          <w:sz w:val="24"/>
          <w:szCs w:val="24"/>
        </w:rPr>
      </w:pPr>
    </w:p>
    <w:p w14:paraId="07E805A4" w14:textId="77777777" w:rsidR="00B04368" w:rsidRPr="00032AC7" w:rsidRDefault="00B04368" w:rsidP="00B04368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B2D1488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8—Business Politics</w:t>
      </w:r>
    </w:p>
    <w:p w14:paraId="3B7988D6" w14:textId="77777777" w:rsidR="00B04368" w:rsidRPr="00032AC7" w:rsidRDefault="00B04368" w:rsidP="00B043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Lorentzen, Peter, Pierre Landry, and John Yasuda. "Undermining authoritarian innovation: the power of China’s industrial giants."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The Journal of Politics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76.01 (2014): 182-194.</w:t>
      </w:r>
    </w:p>
    <w:p w14:paraId="40835514" w14:textId="77777777" w:rsidR="00B04368" w:rsidRPr="00032AC7" w:rsidRDefault="00B04368" w:rsidP="00B0436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Demurger, Sylvie. "Infrastructure development and economic growth: an explanation for regional disparities in China?."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Journal of Comparative economics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29.1 (2001): 95-117.</w:t>
      </w:r>
    </w:p>
    <w:p w14:paraId="0963CA38" w14:textId="77777777" w:rsidR="00F608D7" w:rsidRPr="00032AC7" w:rsidRDefault="00F608D7" w:rsidP="00F608D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Sinha, Aseema. </w:t>
      </w:r>
      <w:r w:rsidRPr="00032AC7">
        <w:rPr>
          <w:rFonts w:eastAsia="Times New Roman" w:cs="Times New Roman"/>
          <w:i/>
          <w:iCs/>
          <w:sz w:val="24"/>
          <w:szCs w:val="24"/>
        </w:rPr>
        <w:t>The regional roots of developmental politics in India: A divided leviathan</w:t>
      </w:r>
      <w:r w:rsidRPr="00032AC7">
        <w:rPr>
          <w:rFonts w:eastAsia="Times New Roman" w:cs="Times New Roman"/>
          <w:sz w:val="24"/>
          <w:szCs w:val="24"/>
        </w:rPr>
        <w:t>. Indiana University Press, 2005. Chapter 1</w:t>
      </w:r>
      <w:r w:rsidR="00034928" w:rsidRPr="00032AC7">
        <w:rPr>
          <w:rFonts w:eastAsia="Times New Roman" w:cs="Times New Roman"/>
          <w:sz w:val="24"/>
          <w:szCs w:val="24"/>
        </w:rPr>
        <w:t>.</w:t>
      </w:r>
    </w:p>
    <w:p w14:paraId="545173AD" w14:textId="77777777" w:rsidR="00034928" w:rsidRPr="00032AC7" w:rsidRDefault="00034928" w:rsidP="00F608D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Faccio, Mara. "Politically connected firms."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The American economic review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96.1 (2006): 369-386.</w:t>
      </w:r>
    </w:p>
    <w:p w14:paraId="53CF8991" w14:textId="77777777" w:rsidR="00B04368" w:rsidRPr="00032AC7" w:rsidRDefault="00B04368" w:rsidP="00B04368">
      <w:pPr>
        <w:spacing w:line="240" w:lineRule="auto"/>
        <w:rPr>
          <w:sz w:val="24"/>
          <w:szCs w:val="24"/>
        </w:rPr>
      </w:pPr>
    </w:p>
    <w:p w14:paraId="5BDD51B9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9-- Conflict and Civil War</w:t>
      </w:r>
    </w:p>
    <w:p w14:paraId="5494FC13" w14:textId="77777777" w:rsidR="00B04368" w:rsidRPr="00032AC7" w:rsidRDefault="00B04368" w:rsidP="00B0436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Dube, O. and J. Vargas. 2013. “Commodity Price Shocks and Civil Conflict: Evidence from Columbia,” </w:t>
      </w:r>
      <w:r w:rsidRPr="00032AC7">
        <w:rPr>
          <w:i/>
          <w:sz w:val="24"/>
          <w:szCs w:val="24"/>
        </w:rPr>
        <w:t>Review of Economic Studies</w:t>
      </w:r>
      <w:r w:rsidRPr="00032AC7">
        <w:rPr>
          <w:sz w:val="24"/>
          <w:szCs w:val="24"/>
        </w:rPr>
        <w:t>, 80, 1384-1421.</w:t>
      </w:r>
    </w:p>
    <w:p w14:paraId="729744E2" w14:textId="77777777" w:rsidR="00032AC7" w:rsidRPr="00032AC7" w:rsidRDefault="00032AC7" w:rsidP="00B0436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Jha, Saumitra, and Steven Wilkinson. "Does combat experience foster organizational skill? Evidence from ethnic cleansing during the partition of South Asia."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American Political Science Review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106.04 (2012): 883-907.</w:t>
      </w:r>
    </w:p>
    <w:p w14:paraId="303A8618" w14:textId="77777777" w:rsidR="00034928" w:rsidRPr="00032AC7" w:rsidRDefault="00034928" w:rsidP="00B0436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Lee, Alexander. "Who Becomes a Terrorist?: Poverty, Education, and the Origins of Political Violence."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World Politics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63.02 (2011): 203-245.</w:t>
      </w:r>
    </w:p>
    <w:p w14:paraId="50370116" w14:textId="77777777" w:rsidR="00034928" w:rsidRPr="00032AC7" w:rsidRDefault="00034928" w:rsidP="00B0436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Lorentzen, Peter L. "Regularizing rioting: Permitting public protest in an authoritarian regime."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Quarterly Journal of Political Science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8.2 (2013): 127-158.</w:t>
      </w:r>
    </w:p>
    <w:p w14:paraId="693195F0" w14:textId="77777777" w:rsidR="00032AC7" w:rsidRPr="00032AC7" w:rsidRDefault="00032AC7" w:rsidP="00032AC7">
      <w:pPr>
        <w:pStyle w:val="ListParagraph"/>
        <w:spacing w:line="240" w:lineRule="auto"/>
        <w:rPr>
          <w:sz w:val="24"/>
          <w:szCs w:val="24"/>
        </w:rPr>
      </w:pPr>
    </w:p>
    <w:p w14:paraId="2E51F613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10-- Foreign Aid</w:t>
      </w:r>
    </w:p>
    <w:p w14:paraId="195A013C" w14:textId="77777777" w:rsidR="00B04368" w:rsidRPr="00032AC7" w:rsidRDefault="00B04368" w:rsidP="00B0436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Ahmed, F. 2012. “The Perils of Unearned Foreign Income: Aid, Remittances, and Government Survival,” </w:t>
      </w:r>
      <w:r w:rsidRPr="00032AC7">
        <w:rPr>
          <w:i/>
          <w:sz w:val="24"/>
          <w:szCs w:val="24"/>
        </w:rPr>
        <w:t>American Political Science Review,</w:t>
      </w:r>
      <w:r w:rsidRPr="00032AC7">
        <w:rPr>
          <w:sz w:val="24"/>
          <w:szCs w:val="24"/>
        </w:rPr>
        <w:t xml:space="preserve"> 106:1, 146-165.</w:t>
      </w:r>
    </w:p>
    <w:p w14:paraId="2CEE1578" w14:textId="77777777" w:rsidR="00B04368" w:rsidRPr="00032AC7" w:rsidRDefault="00B04368" w:rsidP="00B0436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32AC7">
        <w:rPr>
          <w:sz w:val="24"/>
          <w:szCs w:val="24"/>
        </w:rPr>
        <w:t xml:space="preserve">Bueno de Mesquita, B. and A. Smith. 2009. “A Political Economy of Aid,” </w:t>
      </w:r>
      <w:r w:rsidRPr="00032AC7">
        <w:rPr>
          <w:i/>
          <w:sz w:val="24"/>
          <w:szCs w:val="24"/>
        </w:rPr>
        <w:t xml:space="preserve">International Organization, </w:t>
      </w:r>
      <w:r w:rsidRPr="00032AC7">
        <w:rPr>
          <w:sz w:val="24"/>
          <w:szCs w:val="24"/>
        </w:rPr>
        <w:t>63:2, 309-340.</w:t>
      </w:r>
    </w:p>
    <w:p w14:paraId="44BA58B0" w14:textId="77777777" w:rsidR="00032AC7" w:rsidRPr="00032AC7" w:rsidRDefault="00032AC7" w:rsidP="00B0436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Kremer, Michael, Conner Brannen, and Rachel Glennerster. "The challenge of education and learning in the developing world."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Science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340.6130 (2013): 297-300.</w:t>
      </w:r>
    </w:p>
    <w:p w14:paraId="3BE92557" w14:textId="77777777" w:rsidR="00B04368" w:rsidRPr="00032AC7" w:rsidRDefault="00B05474" w:rsidP="00B0436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Rajan, Raghuram G., and Arvind Subramanian. "Aid and growth: What does the cross-country evidence really show?."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The Review of economics and Statistics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90.4 (2008): 643-665.</w:t>
      </w:r>
    </w:p>
    <w:p w14:paraId="7A4A466E" w14:textId="77777777" w:rsidR="00032AC7" w:rsidRPr="00032AC7" w:rsidRDefault="00032AC7" w:rsidP="00032AC7">
      <w:pPr>
        <w:pStyle w:val="ListParagraph"/>
        <w:spacing w:line="240" w:lineRule="auto"/>
        <w:rPr>
          <w:sz w:val="24"/>
          <w:szCs w:val="24"/>
        </w:rPr>
      </w:pPr>
    </w:p>
    <w:p w14:paraId="0E7CE346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11-- Identity and Politics</w:t>
      </w:r>
      <w:r w:rsidR="00032AC7" w:rsidRPr="00032AC7">
        <w:rPr>
          <w:b/>
          <w:sz w:val="24"/>
          <w:szCs w:val="24"/>
        </w:rPr>
        <w:t>: Observational</w:t>
      </w:r>
    </w:p>
    <w:p w14:paraId="6827AAE7" w14:textId="77777777" w:rsidR="00034928" w:rsidRPr="00032AC7" w:rsidRDefault="00034928" w:rsidP="00034928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Huber, John D., and Pavithra Suryanarayan. "Ethnic Inequality and the Ethnification of Political Parties: Evidence from India."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World Politics</w:t>
      </w:r>
      <w:r w:rsidRPr="00032AC7">
        <w:rPr>
          <w:rFonts w:eastAsiaTheme="minorEastAsia" w:cs="Arial"/>
          <w:color w:val="1A1A1A"/>
          <w:sz w:val="24"/>
          <w:szCs w:val="24"/>
        </w:rPr>
        <w:t xml:space="preserve"> 68.1 (2016): 149-188.</w:t>
      </w:r>
    </w:p>
    <w:p w14:paraId="54D43BC7" w14:textId="77777777" w:rsidR="00B04368" w:rsidRPr="00032AC7" w:rsidRDefault="00034928" w:rsidP="00B0436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Banerjee, Abhijit, and Rohini Somanathan. "The political economy of public goods: Some evidence from India." </w:t>
      </w:r>
      <w:r w:rsidRPr="00032AC7">
        <w:rPr>
          <w:rFonts w:eastAsia="Times New Roman" w:cs="Times New Roman"/>
          <w:i/>
          <w:iCs/>
          <w:sz w:val="24"/>
          <w:szCs w:val="24"/>
        </w:rPr>
        <w:t>Journal of development Economics</w:t>
      </w:r>
      <w:r w:rsidRPr="00032AC7">
        <w:rPr>
          <w:rFonts w:eastAsia="Times New Roman" w:cs="Times New Roman"/>
          <w:sz w:val="24"/>
          <w:szCs w:val="24"/>
        </w:rPr>
        <w:t xml:space="preserve"> 82.2 (2007): 287-314.</w:t>
      </w:r>
    </w:p>
    <w:p w14:paraId="6D0635A7" w14:textId="77777777" w:rsidR="00032AC7" w:rsidRPr="00032AC7" w:rsidRDefault="00032AC7" w:rsidP="00B0436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>Lee, Alexander. “Ethnic Diversity and Ethnic Power: Explaining Local Public Goods Provision.’’ Working Paper. 2016.</w:t>
      </w:r>
    </w:p>
    <w:p w14:paraId="22454B3F" w14:textId="77777777" w:rsidR="00032AC7" w:rsidRPr="00032AC7" w:rsidRDefault="00032AC7" w:rsidP="00B0436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Theme="minorEastAsia" w:cs="Arial"/>
          <w:color w:val="1A1A1A"/>
          <w:sz w:val="24"/>
          <w:szCs w:val="24"/>
        </w:rPr>
        <w:t xml:space="preserve">Chandra, Kanchan, ed. </w:t>
      </w:r>
      <w:r w:rsidRPr="00032AC7">
        <w:rPr>
          <w:rFonts w:eastAsiaTheme="minorEastAsia" w:cs="Arial"/>
          <w:i/>
          <w:iCs/>
          <w:color w:val="1A1A1A"/>
          <w:sz w:val="24"/>
          <w:szCs w:val="24"/>
        </w:rPr>
        <w:t>Constructivist theories of ethnic politics</w:t>
      </w:r>
      <w:r w:rsidRPr="00032AC7">
        <w:rPr>
          <w:rFonts w:eastAsiaTheme="minorEastAsia" w:cs="Arial"/>
          <w:color w:val="1A1A1A"/>
          <w:sz w:val="24"/>
          <w:szCs w:val="24"/>
        </w:rPr>
        <w:t>. Oxford University Press, 2012. Ch. 1.</w:t>
      </w:r>
    </w:p>
    <w:p w14:paraId="576461DD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</w:p>
    <w:p w14:paraId="410B3B0B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12</w:t>
      </w:r>
      <w:r w:rsidR="00C02C21">
        <w:rPr>
          <w:b/>
          <w:sz w:val="24"/>
          <w:szCs w:val="24"/>
        </w:rPr>
        <w:t>-- Identity and Politics</w:t>
      </w:r>
      <w:r w:rsidR="00032AC7" w:rsidRPr="00032AC7">
        <w:rPr>
          <w:b/>
          <w:sz w:val="24"/>
          <w:szCs w:val="24"/>
        </w:rPr>
        <w:t>: Experimental</w:t>
      </w:r>
    </w:p>
    <w:p w14:paraId="66E4F414" w14:textId="77777777" w:rsidR="00032AC7" w:rsidRPr="00032AC7" w:rsidRDefault="00032AC7" w:rsidP="00032AC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Chattopadhyay, Raghabendra, and Esther Duflo. "Women as policy makers: Evidence from a randomized policy experiment in India." </w:t>
      </w:r>
      <w:r w:rsidRPr="00032AC7">
        <w:rPr>
          <w:rFonts w:eastAsia="Times New Roman" w:cs="Times New Roman"/>
          <w:i/>
          <w:iCs/>
          <w:sz w:val="24"/>
          <w:szCs w:val="24"/>
        </w:rPr>
        <w:t>Econometrica</w:t>
      </w:r>
      <w:r w:rsidRPr="00032AC7">
        <w:rPr>
          <w:rFonts w:eastAsia="Times New Roman" w:cs="Times New Roman"/>
          <w:sz w:val="24"/>
          <w:szCs w:val="24"/>
        </w:rPr>
        <w:t xml:space="preserve"> 72.5 (2004): 1409-1443.</w:t>
      </w:r>
    </w:p>
    <w:p w14:paraId="7874905C" w14:textId="77777777" w:rsidR="00034928" w:rsidRPr="00032AC7" w:rsidRDefault="00034928" w:rsidP="00034928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032AC7">
        <w:rPr>
          <w:sz w:val="24"/>
          <w:szCs w:val="24"/>
        </w:rPr>
        <w:t xml:space="preserve">Fehr, E., K. Hoff and M. Kshetramade. 2008. “Spite and Development,” </w:t>
      </w:r>
      <w:r w:rsidRPr="00032AC7">
        <w:rPr>
          <w:i/>
          <w:sz w:val="24"/>
          <w:szCs w:val="24"/>
        </w:rPr>
        <w:t>American Economic Review: Papers &amp; Proceedings</w:t>
      </w:r>
      <w:r w:rsidRPr="00032AC7">
        <w:rPr>
          <w:sz w:val="24"/>
          <w:szCs w:val="24"/>
        </w:rPr>
        <w:t>, 98:2, 494-499.</w:t>
      </w:r>
    </w:p>
    <w:p w14:paraId="2AD3053F" w14:textId="77777777" w:rsidR="00034928" w:rsidRPr="00032AC7" w:rsidRDefault="00032AC7" w:rsidP="00032AC7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032AC7">
        <w:rPr>
          <w:sz w:val="24"/>
          <w:szCs w:val="24"/>
        </w:rPr>
        <w:t xml:space="preserve">Habyarimana, J., M. Humphreys, D. Posner &amp; J. Weinstein. 20007. “Why Does Ethnic Diversity Undermine Public Goods Provision?” </w:t>
      </w:r>
      <w:r w:rsidRPr="00032AC7">
        <w:rPr>
          <w:i/>
          <w:sz w:val="24"/>
          <w:szCs w:val="24"/>
        </w:rPr>
        <w:t>American Political Science Review,</w:t>
      </w:r>
      <w:r w:rsidRPr="00032AC7">
        <w:rPr>
          <w:sz w:val="24"/>
          <w:szCs w:val="24"/>
        </w:rPr>
        <w:t xml:space="preserve"> 101:4, 709-725.</w:t>
      </w:r>
    </w:p>
    <w:p w14:paraId="7C7D040C" w14:textId="77777777" w:rsidR="00B04368" w:rsidRPr="00032AC7" w:rsidRDefault="00B04368" w:rsidP="00B0436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32AC7">
        <w:rPr>
          <w:rFonts w:eastAsia="Times New Roman" w:cs="Times New Roman"/>
          <w:sz w:val="24"/>
          <w:szCs w:val="24"/>
        </w:rPr>
        <w:t xml:space="preserve">Dunning, Thad, and Janhavi Nilekani. "Ethnic quotas and political mobilization: caste, parties, and distribution in Indian village councils." </w:t>
      </w:r>
      <w:r w:rsidRPr="00032AC7">
        <w:rPr>
          <w:rFonts w:eastAsia="Times New Roman" w:cs="Times New Roman"/>
          <w:i/>
          <w:iCs/>
          <w:sz w:val="24"/>
          <w:szCs w:val="24"/>
        </w:rPr>
        <w:t>American Political Science Review</w:t>
      </w:r>
      <w:r w:rsidRPr="00032AC7">
        <w:rPr>
          <w:rFonts w:eastAsia="Times New Roman" w:cs="Times New Roman"/>
          <w:sz w:val="24"/>
          <w:szCs w:val="24"/>
        </w:rPr>
        <w:t xml:space="preserve"> 107.01 (2013): 35-56.</w:t>
      </w:r>
    </w:p>
    <w:p w14:paraId="6311291B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</w:p>
    <w:p w14:paraId="2462EE9D" w14:textId="77777777" w:rsidR="00B04368" w:rsidRPr="00032AC7" w:rsidRDefault="00B04368" w:rsidP="00B04368">
      <w:pPr>
        <w:spacing w:line="240" w:lineRule="auto"/>
        <w:rPr>
          <w:b/>
          <w:sz w:val="24"/>
          <w:szCs w:val="24"/>
        </w:rPr>
      </w:pPr>
      <w:r w:rsidRPr="00032AC7">
        <w:rPr>
          <w:b/>
          <w:sz w:val="24"/>
          <w:szCs w:val="24"/>
        </w:rPr>
        <w:t>Week 13-- Student Presentations</w:t>
      </w:r>
    </w:p>
    <w:p w14:paraId="0268D5E7" w14:textId="77777777" w:rsidR="00B04368" w:rsidRPr="00032AC7" w:rsidRDefault="00B04368" w:rsidP="00B04368">
      <w:pPr>
        <w:spacing w:line="240" w:lineRule="auto"/>
        <w:rPr>
          <w:sz w:val="24"/>
          <w:szCs w:val="24"/>
        </w:rPr>
      </w:pPr>
    </w:p>
    <w:p w14:paraId="0AE2C2BB" w14:textId="77777777" w:rsidR="0037278D" w:rsidRDefault="0037278D"/>
    <w:sectPr w:rsidR="0037278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654E7" w14:textId="77777777" w:rsidR="007716FE" w:rsidRDefault="00BA4DEB">
      <w:pPr>
        <w:spacing w:after="0" w:line="240" w:lineRule="auto"/>
      </w:pPr>
      <w:r>
        <w:separator/>
      </w:r>
    </w:p>
  </w:endnote>
  <w:endnote w:type="continuationSeparator" w:id="0">
    <w:p w14:paraId="68193402" w14:textId="77777777" w:rsidR="007716FE" w:rsidRDefault="00BA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422C" w14:textId="77777777" w:rsidR="00C02C21" w:rsidRDefault="00C02C21" w:rsidP="00B04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9D87255" w14:textId="77777777" w:rsidR="00C02C21" w:rsidRDefault="00C02C21" w:rsidP="00B043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17D8" w14:textId="77777777" w:rsidR="00C02C21" w:rsidRDefault="00C02C21" w:rsidP="00B04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B87EA0" w14:textId="77777777" w:rsidR="00C02C21" w:rsidRDefault="00C02C21" w:rsidP="00B043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CA8F" w14:textId="77777777" w:rsidR="007716FE" w:rsidRDefault="00BA4DEB">
      <w:pPr>
        <w:spacing w:after="0" w:line="240" w:lineRule="auto"/>
      </w:pPr>
      <w:r>
        <w:separator/>
      </w:r>
    </w:p>
  </w:footnote>
  <w:footnote w:type="continuationSeparator" w:id="0">
    <w:p w14:paraId="6ECB5B08" w14:textId="77777777" w:rsidR="007716FE" w:rsidRDefault="00BA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0DA"/>
    <w:multiLevelType w:val="hybridMultilevel"/>
    <w:tmpl w:val="C17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1DD"/>
    <w:multiLevelType w:val="hybridMultilevel"/>
    <w:tmpl w:val="EF5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32E"/>
    <w:multiLevelType w:val="hybridMultilevel"/>
    <w:tmpl w:val="9668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AA2"/>
    <w:multiLevelType w:val="hybridMultilevel"/>
    <w:tmpl w:val="A2F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2820"/>
    <w:multiLevelType w:val="hybridMultilevel"/>
    <w:tmpl w:val="0F02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97772"/>
    <w:multiLevelType w:val="hybridMultilevel"/>
    <w:tmpl w:val="4558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D4697"/>
    <w:multiLevelType w:val="hybridMultilevel"/>
    <w:tmpl w:val="9230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D3E68"/>
    <w:multiLevelType w:val="hybridMultilevel"/>
    <w:tmpl w:val="DD4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31155"/>
    <w:multiLevelType w:val="hybridMultilevel"/>
    <w:tmpl w:val="23D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8731C"/>
    <w:multiLevelType w:val="hybridMultilevel"/>
    <w:tmpl w:val="8D26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E2AF9"/>
    <w:multiLevelType w:val="hybridMultilevel"/>
    <w:tmpl w:val="A6E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810D8"/>
    <w:multiLevelType w:val="hybridMultilevel"/>
    <w:tmpl w:val="D8D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1196"/>
    <w:multiLevelType w:val="hybridMultilevel"/>
    <w:tmpl w:val="CA1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012F4"/>
    <w:multiLevelType w:val="hybridMultilevel"/>
    <w:tmpl w:val="F49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68"/>
    <w:rsid w:val="00032AC7"/>
    <w:rsid w:val="00034928"/>
    <w:rsid w:val="0037278D"/>
    <w:rsid w:val="003E24E4"/>
    <w:rsid w:val="00763B56"/>
    <w:rsid w:val="007716FE"/>
    <w:rsid w:val="00B04368"/>
    <w:rsid w:val="00B05474"/>
    <w:rsid w:val="00BA4DEB"/>
    <w:rsid w:val="00C02C21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DF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6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4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6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04368"/>
  </w:style>
  <w:style w:type="paragraph" w:styleId="NoSpacing">
    <w:name w:val="No Spacing"/>
    <w:uiPriority w:val="1"/>
    <w:qFormat/>
    <w:rsid w:val="00F608D7"/>
    <w:rPr>
      <w:rFonts w:ascii="Times New Roman" w:eastAsiaTheme="minorHAnsi" w:hAnsi="Times New Roman" w:cs="Times New Roman"/>
    </w:rPr>
  </w:style>
  <w:style w:type="paragraph" w:styleId="FootnoteText">
    <w:name w:val="footnote text"/>
    <w:basedOn w:val="Normal"/>
    <w:link w:val="FootnoteTextChar"/>
    <w:rsid w:val="0003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492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6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43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6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04368"/>
  </w:style>
  <w:style w:type="paragraph" w:styleId="NoSpacing">
    <w:name w:val="No Spacing"/>
    <w:uiPriority w:val="1"/>
    <w:qFormat/>
    <w:rsid w:val="00F608D7"/>
    <w:rPr>
      <w:rFonts w:ascii="Times New Roman" w:eastAsiaTheme="minorHAnsi" w:hAnsi="Times New Roman" w:cs="Times New Roman"/>
    </w:rPr>
  </w:style>
  <w:style w:type="paragraph" w:styleId="FootnoteText">
    <w:name w:val="footnote text"/>
    <w:basedOn w:val="Normal"/>
    <w:link w:val="FootnoteTextChar"/>
    <w:rsid w:val="0003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49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1342</Words>
  <Characters>7651</Characters>
  <Application>Microsoft Macintosh Word</Application>
  <DocSecurity>4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Alexander</dc:creator>
  <cp:keywords/>
  <dc:description/>
  <cp:lastModifiedBy>AnneMarie Tyll</cp:lastModifiedBy>
  <cp:revision>2</cp:revision>
  <dcterms:created xsi:type="dcterms:W3CDTF">2017-01-16T16:32:00Z</dcterms:created>
  <dcterms:modified xsi:type="dcterms:W3CDTF">2017-01-16T16:32:00Z</dcterms:modified>
</cp:coreProperties>
</file>